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footer+xml" PartName="/word/footer1.xml"/>
  <Override ContentType="application/vnd.openxmlformats-officedocument.wordprocessingml.footer+xml" PartName="/word/footer2.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0" w:before="0"/>
      </w:pPr>
      <w:r>
        <w:rPr>
          <w:rFonts w:ascii="Times New Roman" w:cs="Times New Roman" w:eastAsia="Times New Roman" w:hAnsi="Times New Roman"/>
          <w:b w:val="false"/>
          <w:bCs w:val="false"/>
          <w:i w:val="false"/>
          <w:iCs w:val="false"/>
          <w:color w:val="1A1A1A"/>
          <w:sz w:val="20"/>
          <w:szCs w:val="20"/>
        </w:rPr>
        <w:t xml:space="preserve"/>
      </w:r>
    </w:p>
    <w:p>
      <w:pPr>
        <w:spacing w:after="40" w:before="0"/>
        <w:jc w:val="center"/>
      </w:pPr>
      <w:r>
        <w:rPr>
          <w:rFonts w:ascii="Arial" w:cs="Arial" w:eastAsia="Arial" w:hAnsi="Arial"/>
          <w:b/>
          <w:bCs/>
          <w:i w:val="false"/>
          <w:iCs w:val="false"/>
          <w:color w:val="1565C0"/>
          <w:sz w:val="20"/>
          <w:szCs w:val="20"/>
        </w:rPr>
        <w:t xml:space="preserve">SERI BUKU SAKU PPRA INDONESIA</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20" w:before="0"/>
        <w:jc w:val="center"/>
      </w:pPr>
      <w:r>
        <w:rPr>
          <w:rFonts w:ascii="Arial" w:cs="Arial" w:eastAsia="Arial" w:hAnsi="Arial"/>
          <w:b/>
          <w:bCs/>
          <w:i w:val="false"/>
          <w:iCs w:val="false"/>
          <w:color w:val="0B3D6B"/>
          <w:sz w:val="36"/>
          <w:szCs w:val="36"/>
        </w:rPr>
        <w:t xml:space="preserve">BUKU SAKU</w:t>
      </w:r>
    </w:p>
    <w:p>
      <w:pPr>
        <w:spacing w:after="20" w:before="0"/>
        <w:jc w:val="center"/>
      </w:pPr>
      <w:r>
        <w:rPr>
          <w:rFonts w:ascii="Arial" w:cs="Arial" w:eastAsia="Arial" w:hAnsi="Arial"/>
          <w:b/>
          <w:bCs/>
          <w:i w:val="false"/>
          <w:iCs w:val="false"/>
          <w:color w:val="0B3D6B"/>
          <w:sz w:val="40"/>
          <w:szCs w:val="40"/>
        </w:rPr>
        <w:t xml:space="preserve">MANAJERIAL PPRA</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60" w:before="60"/>
        <w:jc w:val="center"/>
      </w:pPr>
      <w:r>
        <w:rPr>
          <w:rFonts w:ascii="Times New Roman" w:cs="Times New Roman" w:eastAsia="Times New Roman" w:hAnsi="Times New Roman"/>
          <w:b w:val="false"/>
          <w:bCs w:val="false"/>
          <w:i/>
          <w:iCs/>
          <w:color w:val="1565C0"/>
          <w:sz w:val="20"/>
          <w:szCs w:val="20"/>
        </w:rPr>
        <w:t xml:space="preserve">Panduan Perencanaan, Kepemimpinan, Data, dan Sustainabilitas Program PPRA</w:t>
      </w:r>
    </w:p>
    <w:p>
      <w:pPr>
        <w:spacing w:after="320" w:before="0"/>
      </w:pPr>
      <w:r>
        <w:rPr>
          <w:rFonts w:ascii="Times New Roman" w:cs="Times New Roman" w:eastAsia="Times New Roman" w:hAnsi="Times New Roman"/>
          <w:b w:val="false"/>
          <w:bCs w:val="false"/>
          <w:i w:val="false"/>
          <w:iCs w:val="false"/>
          <w:color w:val="1A1A1A"/>
          <w:sz w:val="20"/>
          <w:szCs w:val="20"/>
        </w:rPr>
        <w:t xml:space="preserve"/>
      </w:r>
    </w:p>
    <w:p>
      <w:pPr>
        <w:spacing w:after="20" w:before="40"/>
        <w:jc w:val="center"/>
      </w:pPr>
      <w:r>
        <w:rPr>
          <w:rFonts w:ascii="Arial" w:cs="Arial" w:eastAsia="Arial" w:hAnsi="Arial"/>
          <w:b/>
          <w:bCs/>
          <w:i w:val="false"/>
          <w:iCs w:val="false"/>
          <w:color w:val="0B3D6B"/>
          <w:sz w:val="28"/>
          <w:szCs w:val="28"/>
        </w:rPr>
        <w:t xml:space="preserve">dr. Putu Cahya Legawa</w:t>
      </w:r>
    </w:p>
    <w:p>
      <w:pPr>
        <w:spacing w:after="20" w:before="0"/>
        <w:jc w:val="center"/>
      </w:pPr>
      <w:r>
        <w:rPr>
          <w:rFonts w:ascii="Times New Roman" w:cs="Times New Roman" w:eastAsia="Times New Roman" w:hAnsi="Times New Roman"/>
          <w:b w:val="false"/>
          <w:bCs w:val="false"/>
          <w:i/>
          <w:iCs/>
          <w:color w:val="1565C0"/>
          <w:sz w:val="20"/>
          <w:szCs w:val="20"/>
        </w:rPr>
        <w:t xml:space="preserve">Dokter Umum | Praktisi PPRA</w:t>
      </w:r>
    </w:p>
    <w:p>
      <w:pPr>
        <w:spacing w:after="320" w:before="0"/>
      </w:pPr>
      <w:r>
        <w:rPr>
          <w:rFonts w:ascii="Times New Roman" w:cs="Times New Roman" w:eastAsia="Times New Roman" w:hAnsi="Times New Roman"/>
          <w:b w:val="false"/>
          <w:bCs w:val="false"/>
          <w:i w:val="false"/>
          <w:iCs w:val="false"/>
          <w:color w:val="1A1A1A"/>
          <w:sz w:val="20"/>
          <w:szCs w:val="20"/>
        </w:rPr>
        <w:t xml:space="preserve"/>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20" w:before="60"/>
        <w:jc w:val="center"/>
      </w:pPr>
      <w:r>
        <w:rPr>
          <w:rFonts w:ascii="Times New Roman" w:cs="Times New Roman" w:eastAsia="Times New Roman" w:hAnsi="Times New Roman"/>
          <w:b w:val="false"/>
          <w:bCs w:val="false"/>
          <w:i w:val="false"/>
          <w:iCs w:val="false"/>
          <w:color w:val="1A1A1A"/>
          <w:sz w:val="20"/>
          <w:szCs w:val="20"/>
        </w:rPr>
        <w:t xml:space="preserve">Edisi 1 — 2026</w:t>
      </w:r>
    </w:p>
    <w:p>
      <w:pPr>
        <w:spacing w:after="0" w:before="0"/>
        <w:jc w:val="center"/>
      </w:pPr>
      <w:r>
        <w:rPr>
          <w:rFonts w:ascii="Times New Roman" w:cs="Times New Roman" w:eastAsia="Times New Roman" w:hAnsi="Times New Roman"/>
          <w:b w:val="false"/>
          <w:bCs w:val="false"/>
          <w:i w:val="false"/>
          <w:iCs w:val="false"/>
          <w:color w:val="1565C0"/>
          <w:sz w:val="20"/>
          <w:szCs w:val="20"/>
        </w:rPr>
        <w:t xml:space="preserve">legawa.com</w:t>
      </w:r>
    </w:p>
    <w:p>
      <w:r>
        <w:br w:type="page"/>
      </w:r>
    </w:p>
    <w:p>
      <w:pPr>
        <w:spacing w:after="80" w:before="80"/>
        <w:jc w:val="center"/>
      </w:pPr>
      <w:r>
        <w:rPr>
          <w:rFonts w:ascii="Arial" w:cs="Arial" w:eastAsia="Arial" w:hAnsi="Arial"/>
          <w:b/>
          <w:bCs/>
          <w:i w:val="false"/>
          <w:iCs w:val="false"/>
          <w:color w:val="0B3D6B"/>
          <w:sz w:val="22"/>
          <w:szCs w:val="22"/>
        </w:rPr>
        <w:t xml:space="preserve">PERNYATAAN DAN KETENTUAN PENGGUNAAN</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1565C0" w:sz="1"/>
              <w:left w:val="single" w:color="1565C0" w:sz="1"/>
              <w:bottom w:val="single" w:color="1565C0" w:sz="1"/>
              <w:right w:val="single" w:color="1565C0" w:sz="1"/>
            </w:tcBorders>
            <w:shd w:fill="FFF8E1"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bCs/>
                <w:i w:val="false"/>
                <w:iCs w:val="false"/>
                <w:color w:val="1A1A1A"/>
                <w:sz w:val="18"/>
                <w:szCs w:val="18"/>
              </w:rPr>
              <w:t xml:space="preserve">PENTING — BACA SEBELUM MENGGUNAKAN</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Buku saku ini disediakan sebagaimana adanya ("as is") sebagai alat bantu manajerial.</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Informasi mengacu pada regulasi dan praktik terbaik yang berlaku pada 2026.</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Konteks setiap RS berbeda — sesuaikan dengan kapasitas dan kebijakan institusi.</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Pengguna dianjurkan memverifikasi informasi ke sumber primer. Penulis tidak bertanggung jawab atas keputusan manajerial yang diambil semata-mata berdasarkan buku ini.</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center"/>
      </w:pPr>
      <w:r>
        <w:rPr>
          <w:rFonts w:ascii="Times New Roman" w:cs="Times New Roman" w:eastAsia="Times New Roman" w:hAnsi="Times New Roman"/>
          <w:b w:val="false"/>
          <w:bCs w:val="false"/>
          <w:i w:val="false"/>
          <w:iCs w:val="false"/>
          <w:color w:val="1A1A1A"/>
          <w:sz w:val="20"/>
          <w:szCs w:val="20"/>
        </w:rPr>
        <w:t xml:space="preserve">Hak Cipta © 2026 dr. Putu Cahya Legawa. Bebas disalin untuk keperluan pendidikan non-komersial dengan menyebut sumber.</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1565C0" w:sz="1"/>
              <w:left w:val="single" w:color="1565C0" w:sz="1"/>
              <w:bottom w:val="single" w:color="1565C0" w:sz="1"/>
              <w:right w:val="single" w:color="1565C0" w:sz="1"/>
            </w:tcBorders>
            <w:shd w:fill="E8F5E9"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DUKUNG PENULIS</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saweria.co/haridiva          |          legawa.com</w:t>
            </w:r>
          </w:p>
        </w:tc>
      </w:tr>
    </w:tbl>
    <w:p>
      <w:pPr>
        <w:pStyle w:val="Heading1"/>
        <w:pageBreakBefore/>
        <w:spacing w:after="140" w:before="0"/>
      </w:pPr>
      <w:r>
        <w:rPr>
          <w:rFonts w:ascii="Arial" w:cs="Arial" w:eastAsia="Arial" w:hAnsi="Arial"/>
          <w:b/>
          <w:bCs/>
          <w:i w:val="false"/>
          <w:iCs w:val="false"/>
          <w:color w:val="0B3D6B"/>
          <w:sz w:val="28"/>
          <w:szCs w:val="28"/>
        </w:rPr>
        <w:t xml:space="preserve">KATA PENGANTAR</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Memimpin program PPRA di rumah sakit adalah tugas yang menuntut lebih dari sekadar pengetahuan klinis. Ketua dan anggota Tim PRA dituntut untuk menjadi manajer program yang efektif: merencanakan dengan sistematis, mengelola data dengan cermat, berkomunikasi dengan berbagai pemangku kepentingan, dan memastikan program bertahan jauh melampaui momentum survei akreditasi.</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Buku saku ini lahir dari pengamatan bahwa banyak program PPRA yang "hidup" hanya menjelang survei KARS dan "mati" setelahnya. Akar masalahnya bukan pada kurangnya regulasi atau panduan teknis — melainkan pada lemahnya fondasi manajerial: perencanaan yang tidak realistis, KPI yang tidak dimonitor, tim yang tidak termotivasi, dan komunikasi dengan manajemen RS yang tidak efektif.</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Berbeda dari Buku Saku PPRA untuk RS Tipe C dan D yang berfokus pada kepatuhan regulasi dan persiapan survei, buku ini menitikberatkan pada keterampilan manajerial yang dibutuhkan untuk membangun dan mempertahankan program PPRA yang berkelanjutan di rumah sakit manapun — tipe A, B, C, maupun D. Topik yang dibahas mencakup membangun argumen bisnis PPRA kepada Direktur, perencanaan program kerja yang SMART, manajemen data dan dashboard KPI, siklus PDCA, manajemen perubahan dan komunikasi lintas pemangku kepentingan, serta strategi sustainabilitas.</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Program PPRA yang baik bukan tentang dokumen yang sempurna — melainkan tentang sistem yang berjalan, tim yang berkomitmen, dan budaya yang berubah. Semoga buku ini menjadi panduan praktis dalam perjalanan tersebut.</w:t>
      </w:r>
    </w:p>
    <w:p>
      <w:pPr>
        <w:spacing w:after="16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right"/>
      </w:pPr>
      <w:r>
        <w:rPr>
          <w:rFonts w:ascii="Times New Roman" w:cs="Times New Roman" w:eastAsia="Times New Roman" w:hAnsi="Times New Roman"/>
          <w:b w:val="false"/>
          <w:bCs w:val="false"/>
          <w:i w:val="false"/>
          <w:iCs w:val="false"/>
          <w:color w:val="1A1A1A"/>
          <w:sz w:val="20"/>
          <w:szCs w:val="20"/>
        </w:rPr>
        <w:t xml:space="preserve">Sragen, Juni 2026</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right"/>
      </w:pPr>
      <w:r>
        <w:rPr>
          <w:rFonts w:ascii="Times New Roman" w:cs="Times New Roman" w:eastAsia="Times New Roman" w:hAnsi="Times New Roman"/>
          <w:b w:val="false"/>
          <w:bCs w:val="false"/>
          <w:i w:val="false"/>
          <w:iCs w:val="false"/>
          <w:color w:val="1A1A1A"/>
          <w:sz w:val="20"/>
          <w:szCs w:val="20"/>
        </w:rPr>
        <w:t xml:space="preserve">Penulis,</w:t>
      </w:r>
    </w:p>
    <w:p>
      <w:pPr>
        <w:spacing w:after="16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right"/>
      </w:pPr>
      <w:r>
        <w:rPr>
          <w:rFonts w:ascii="Times New Roman" w:cs="Times New Roman" w:eastAsia="Times New Roman" w:hAnsi="Times New Roman"/>
          <w:b/>
          <w:bCs/>
          <w:i w:val="false"/>
          <w:iCs w:val="false"/>
          <w:color w:val="1A1A1A"/>
          <w:sz w:val="20"/>
          <w:szCs w:val="20"/>
        </w:rPr>
        <w:t xml:space="preserve">dr. Putu Cahya Legawa</w:t>
      </w:r>
    </w:p>
    <w:p>
      <w:pPr>
        <w:pStyle w:val="Heading1"/>
        <w:pageBreakBefore/>
        <w:spacing w:after="140" w:before="0"/>
      </w:pPr>
      <w:r>
        <w:rPr>
          <w:rFonts w:ascii="Arial" w:cs="Arial" w:eastAsia="Arial" w:hAnsi="Arial"/>
          <w:b/>
          <w:bCs/>
          <w:i w:val="false"/>
          <w:iCs w:val="false"/>
          <w:color w:val="0B3D6B"/>
          <w:sz w:val="28"/>
          <w:szCs w:val="28"/>
        </w:rPr>
        <w:t xml:space="preserve">TENTANG PENULIS</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20" w:before="40"/>
        <w:jc w:val="center"/>
      </w:pPr>
      <w:r>
        <w:rPr>
          <w:rFonts w:ascii="Arial" w:cs="Arial" w:eastAsia="Arial" w:hAnsi="Arial"/>
          <w:b/>
          <w:bCs/>
          <w:i w:val="false"/>
          <w:iCs w:val="false"/>
          <w:color w:val="0B3D6B"/>
          <w:sz w:val="26"/>
          <w:szCs w:val="26"/>
        </w:rPr>
        <w:t xml:space="preserve">dr. Putu Cahya Legawa</w:t>
      </w:r>
    </w:p>
    <w:p>
      <w:pPr>
        <w:spacing w:after="80" w:before="0"/>
        <w:jc w:val="center"/>
      </w:pPr>
      <w:r>
        <w:rPr>
          <w:rFonts w:ascii="Times New Roman" w:cs="Times New Roman" w:eastAsia="Times New Roman" w:hAnsi="Times New Roman"/>
          <w:b w:val="false"/>
          <w:bCs w:val="false"/>
          <w:i/>
          <w:iCs/>
          <w:color w:val="1565C0"/>
          <w:sz w:val="20"/>
          <w:szCs w:val="20"/>
        </w:rPr>
        <w:t xml:space="preserve">Dokter Umum | Wakil Ketua I Tim PRA | Penulis Medis</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dr. Putu Cahya Legawa adalah Wakil Ketua I Tim PRA RSU Sarila Husada, terlibat langsung dalam membangun program PPRA dari tahap awal di RS tipe C, termasuk penyusunan program kerja, dashboard KPI, sistem dokumentasi digital, dan persiapan akreditasi KARS STARKES 2024.</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Platform</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Tautan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Blog / Portofolio</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legawa.com</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LinkedIn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linkedin.com/in/haridiva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GitHub</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github.com/haridiva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Donasi</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saweria.co/haridiva</w:t>
            </w:r>
          </w:p>
        </w:tc>
      </w:tr>
    </w:tbl>
    <w:p>
      <w:pPr>
        <w:pStyle w:val="Heading1"/>
        <w:pageBreakBefore/>
        <w:spacing w:after="140" w:before="0"/>
      </w:pPr>
      <w:r>
        <w:rPr>
          <w:rFonts w:ascii="Arial" w:cs="Arial" w:eastAsia="Arial" w:hAnsi="Arial"/>
          <w:b/>
          <w:bCs/>
          <w:i w:val="false"/>
          <w:iCs w:val="false"/>
          <w:color w:val="0B3D6B"/>
          <w:sz w:val="28"/>
          <w:szCs w:val="28"/>
        </w:rPr>
        <w:t xml:space="preserve">DAFTAR SINGKATAN</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Singkatan</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Kepanjangan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AMR</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Antimicrobial Resistance</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CAPA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Corrective and Preventive Action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DDD</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Defined Daily Dose</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FORKKIT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Forum Kajian Kasus Infeksi Terintegrasi</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IHT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In-House Training</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KARS</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Komisi Akreditasi Rumah Sakit</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KFT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Komite Farmasi dan Terapi</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KPI</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Key Performance Indicator</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MoU</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Memorandum of Understanding</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PDCA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Plan-Do-Check-Act</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PGA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Penatagunaan Antimikroba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PMKP</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Peningkatan Mutu dan Keselamatan Pasien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PPRA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Program Pengendalian Resistensi Antimikroba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RKAT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Rencana Kerja dan Anggaran Tahunan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ROI</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Return on Investment</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SIRS</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Sistem Informasi Rumah Sakit</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SK</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Surat Keputusan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SMART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Specific, Measurable, Achievable, Relevant, Time-bound</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SPO</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Standar Prosedur Operasional</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SSI</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Surgical Site Infection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Tim PRA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Tim Program Pengendalian Resistensi Antimikroba</w:t>
            </w:r>
          </w:p>
        </w:tc>
      </w:tr>
    </w:tbl>
    <w:p>
      <w:pPr>
        <w:pageBreakBefore/>
        <w:spacing w:after="20" w:before="0"/>
      </w:pPr>
      <w:r>
        <w:rPr>
          <w:rFonts w:ascii="Arial" w:cs="Arial" w:eastAsia="Arial" w:hAnsi="Arial"/>
          <w:b/>
          <w:bCs/>
          <w:i w:val="false"/>
          <w:iCs w:val="false"/>
          <w:color w:val="1565C0"/>
          <w:sz w:val="20"/>
          <w:szCs w:val="20"/>
        </w:rPr>
        <w:t xml:space="preserve">BAB 1</w:t>
      </w:r>
    </w:p>
    <w:p>
      <w:pPr>
        <w:pStyle w:val="Heading1"/>
        <w:spacing w:after="100" w:before="0"/>
      </w:pPr>
      <w:r>
        <w:rPr>
          <w:rFonts w:ascii="Arial" w:cs="Arial" w:eastAsia="Arial" w:hAnsi="Arial"/>
          <w:b/>
          <w:bCs/>
          <w:i w:val="false"/>
          <w:iCs w:val="false"/>
          <w:color w:val="0B3D6B"/>
          <w:sz w:val="28"/>
          <w:szCs w:val="28"/>
        </w:rPr>
        <w:t xml:space="preserve">MEMBANGUN ARGUMEN BISNIS PPRA</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1565C0"/>
          <w:sz w:val="24"/>
          <w:szCs w:val="24"/>
        </w:rPr>
        <w:t xml:space="preserve">1.1 Mengapa Direktur Perlu Mendukung PPRA?</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Sebelum meminta sumber daya — staf, anggaran, atau akses data — Tim PRA harus mampu menjawab satu pertanyaan kunci dari sudut pandang manajemen RS: "Apa untungnya bagi rumah sakit ini?" Argumen emosional atau sekadar "karena regulasi" tidak cukup. Diperlukan argumen berbasis data bisnis.</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Dimensi Bisnis</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Dampak PPRA yang Terukur (Referensi)</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Efisiensi biaya obat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PPRA mengurangi konsumsi antibiotik WATCH/RESERVE yang mahal. Studi Davey et al. (Cochrane 2017): stewardship mengurangi biaya antibiotik 22-36% tanpa memperburuk outcome klinis.</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Lama rawat inap</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SSI memperpanjang rawat inap rata-rata 7-10 hari (WHO SSI Guidelines 2018). PAB yang tepat mengurangi SSI 40-80%. Satu kasus SSI terhindari = penghematan 7-10 hari rawat.</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Pendapatan mutu dan akreditasi</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Prognas 6 &amp; 6.1 STARKES 2024 berkontribusi 100 poin dari total penilaian. Nilai kurang dari 75 poin = Rekomendasi Mayor yang dapat mempengaruhi status akreditasi RS.</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Risiko hukum dan reputasi</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Infeksi terkait resistensi yang tidak tertangani dapat menjadi berita negatif. PPRA adalah manajemen risiko reputasional RS.</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Pelaporan wajib ke Kemenkes</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SIRS Online triwulanan adalah kewajiban hukum. Tidak melapor dapat berdampak pada evaluasi RS oleh Kemenkes.</w:t>
            </w:r>
          </w:p>
        </w:tc>
      </w:tr>
    </w:tbl>
    <w:p>
      <w:pPr>
        <w:pStyle w:val="Heading2"/>
        <w:spacing w:after="100" w:before="200"/>
      </w:pPr>
      <w:r>
        <w:rPr>
          <w:rFonts w:ascii="Arial" w:cs="Arial" w:eastAsia="Arial" w:hAnsi="Arial"/>
          <w:b/>
          <w:bCs/>
          <w:i w:val="false"/>
          <w:iCs w:val="false"/>
          <w:color w:val="1565C0"/>
          <w:sz w:val="24"/>
          <w:szCs w:val="24"/>
        </w:rPr>
        <w:t xml:space="preserve">1.2 Template: Menyampaikan Proposal PPRA ke Direktur</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Rapat dengan Direktur untuk mengusulkan penguatan PPRA harus singkat, terstruktur, dan berorientasi pada solusi. Gunakan kerangka berikut:</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Komponen Presentasi</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Isi yang Disarankan (5-10 Menit)</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 Situasi saat ini (2 mnt)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KPI terkini: Gyssens Kat.0, DDD ACCESS%, kepatuhan ASO. Tunjukkan gap dengan target nasional. Contoh: "Gyssens Kat.0 kami 36% — target nasional 60%. Ini berarti 64% penggunaan AB di RS kita masih suboptimal."</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2. Dampak bisnis (2 mnt)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Hitung estimasi biaya: berapa kasus SSI per tahun? Berapa hari rawat inap ekstra? Berapa biaya antibiotik WATCH yang bisa dikurangi? Gunakan data RS sendiri jika tersedia.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3. Solusi yang diminta (3 mnt)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Spesifik dan realistis: bukan "butuh lebih banyak staf" tapi "butuh 4 jam/minggu apoteker klinis untuk audit, dan akses ke data pengeluaran farmasi bulanan".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4. Target dan timeline (2 mnt)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KPI yang akan dicapai dalam 6-12 bulan. Gunakan angka SMART: "Dalam 6 bulan, Gyssens Kat.0 naik dari 36% ke 50%."</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 Dukungan yang diminta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SK Direktur yang diperbarui, alokasi waktu staf, akses data farmasi, anggaran minimal untuk IHT (jika diperlukan).</w:t>
            </w:r>
          </w:p>
        </w:tc>
      </w:tr>
    </w:tbl>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1565C0" w:sz="1"/>
              <w:left w:val="single" w:color="1565C0" w:sz="1"/>
              <w:bottom w:val="single" w:color="1565C0" w:sz="1"/>
              <w:right w:val="single" w:color="1565C0" w:sz="1"/>
            </w:tcBorders>
            <w:shd w:fill="E3F2FD"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bCs/>
                <w:i w:val="false"/>
                <w:iCs w:val="false"/>
                <w:color w:val="1A1A1A"/>
                <w:sz w:val="18"/>
                <w:szCs w:val="18"/>
              </w:rPr>
              <w:t xml:space="preserve">KUNCI: Direktur RS adalah pengambil keputusan bisnis, bukan klinisi PPRA.</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Berbicara dalam bahasa yang relevan: biaya, efisiensi, reputasi, dan kepatuhan regulasi.</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Siapkan satu halaman ringkasan data (executive summary) untuk dibawa ke rapat.</w:t>
            </w:r>
          </w:p>
        </w:tc>
      </w:tr>
    </w:tbl>
    <w:p>
      <w:pPr>
        <w:pageBreakBefore/>
        <w:spacing w:after="20" w:before="0"/>
      </w:pPr>
      <w:r>
        <w:rPr>
          <w:rFonts w:ascii="Arial" w:cs="Arial" w:eastAsia="Arial" w:hAnsi="Arial"/>
          <w:b/>
          <w:bCs/>
          <w:i w:val="false"/>
          <w:iCs w:val="false"/>
          <w:color w:val="1565C0"/>
          <w:sz w:val="20"/>
          <w:szCs w:val="20"/>
        </w:rPr>
        <w:t xml:space="preserve">BAB 2</w:t>
      </w:r>
    </w:p>
    <w:p>
      <w:pPr>
        <w:pStyle w:val="Heading1"/>
        <w:spacing w:after="100" w:before="0"/>
      </w:pPr>
      <w:r>
        <w:rPr>
          <w:rFonts w:ascii="Arial" w:cs="Arial" w:eastAsia="Arial" w:hAnsi="Arial"/>
          <w:b/>
          <w:bCs/>
          <w:i w:val="false"/>
          <w:iCs w:val="false"/>
          <w:color w:val="0B3D6B"/>
          <w:sz w:val="28"/>
          <w:szCs w:val="28"/>
        </w:rPr>
        <w:t xml:space="preserve">PERENCANAAN PROGRAM KERJA PPRA YANG EFEKTIF</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1565C0"/>
          <w:sz w:val="24"/>
          <w:szCs w:val="24"/>
        </w:rPr>
        <w:t xml:space="preserve">2.1 Lima Komponen Wajib Program Kerja PPRA</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Berdasarkan Permenkes 8/2015 dan STARKES 2024 (Prognas 6 EP2), Program Kerja PPRA wajib memuat 5 komponen. Program Kerja yang tidak mencantumkan kelima komponen ini berisiko mendapat nilai nol pada EP2.</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300"/>
        <w:gridCol w:w="1800"/>
        <w:gridCol w:w="4589"/>
      </w:tblGrid>
      <w:tr>
        <w:trPr>
          <w:tblHeader/>
        </w:trPr>
        <w:tc>
          <w:tcPr>
            <w:tcW w:type="dxa" w:w="3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No.</w:t>
            </w:r>
          </w:p>
        </w:tc>
        <w:tc>
          <w:tcPr>
            <w:tcW w:type="dxa" w:w="18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Komponen</w:t>
            </w:r>
          </w:p>
        </w:tc>
        <w:tc>
          <w:tcPr>
            <w:tcW w:type="dxa" w:w="45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Kegiatan Minimal Tertulis dalam Program Kerja</w:t>
            </w:r>
          </w:p>
        </w:tc>
      </w:tr>
      <w:tr>
        <w:tc>
          <w:tcPr>
            <w:tcW w:type="dxa" w:w="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w:t>
            </w:r>
          </w:p>
        </w:tc>
        <w:tc>
          <w:tcPr>
            <w:tcW w:type="dxa" w:w="1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Edukasi &amp; Pelatihan</w:t>
            </w:r>
          </w:p>
        </w:tc>
        <w:tc>
          <w:tcPr>
            <w:tcW w:type="dxa" w:w="45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IHT PPRA (frekuensi, target peserta, metode, PIC)</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Edukasi pasien (leaflet, formulir konseling)</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Orientasi staf baru</w:t>
            </w:r>
          </w:p>
        </w:tc>
      </w:tr>
      <w:tr>
        <w:tc>
          <w:tcPr>
            <w:tcW w:type="dxa" w:w="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2</w:t>
            </w:r>
          </w:p>
        </w:tc>
        <w:tc>
          <w:tcPr>
            <w:tcW w:type="dxa" w:w="1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PGA / Antimicrobial Stewardship</w:t>
            </w:r>
          </w:p>
        </w:tc>
        <w:tc>
          <w:tcPr>
            <w:tcW w:type="dxa" w:w="45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Audit Gyssens (jumlah sampel, frekuensi, PIC)</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Audit profilaksis bedah K1-K4</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Prospektif reviu dan de-eskalasi</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IVOST monitoring</w:t>
            </w:r>
          </w:p>
        </w:tc>
      </w:tr>
      <w:tr>
        <w:tc>
          <w:tcPr>
            <w:tcW w:type="dxa" w:w="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3</w:t>
            </w:r>
          </w:p>
        </w:tc>
        <w:tc>
          <w:tcPr>
            <w:tcW w:type="dxa" w:w="1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Surveilans kuantitatif</w:t>
            </w:r>
          </w:p>
        </w:tc>
        <w:tc>
          <w:tcPr>
            <w:tcW w:type="dxa" w:w="45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DDD/100 patient-days per triwulan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Analisis AWaRe per triwulan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PIC: apoteker klinis + data IFRS</w:t>
            </w:r>
          </w:p>
        </w:tc>
      </w:tr>
      <w:tr>
        <w:tc>
          <w:tcPr>
            <w:tcW w:type="dxa" w:w="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4</w:t>
            </w:r>
          </w:p>
        </w:tc>
        <w:tc>
          <w:tcPr>
            <w:tcW w:type="dxa" w:w="1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Surveilans resistensi</w:t>
            </w:r>
          </w:p>
        </w:tc>
        <w:tc>
          <w:tcPr>
            <w:tcW w:type="dxa" w:w="45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Data isolat MDRO (dari lab internal/eksternal)</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Antibiogram lokal (minimal 1x/tahun)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Pelaporan MDRO sesuai Kepdirjen 3609/2025</w:t>
            </w:r>
          </w:p>
        </w:tc>
      </w:tr>
      <w:tr>
        <w:tc>
          <w:tcPr>
            <w:tcW w:type="dxa" w:w="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w:t>
            </w:r>
          </w:p>
        </w:tc>
        <w:tc>
          <w:tcPr>
            <w:tcW w:type="dxa" w:w="1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FORKKIT</w:t>
            </w:r>
          </w:p>
        </w:tc>
        <w:tc>
          <w:tcPr>
            <w:tcW w:type="dxa" w:w="45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Frekuensi: minimal 1x/bulan (12x/tahun)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PIC: Ketua/Wakil Ketua Tim PRA</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Dokumentasi: notulen + daftar hadir</w:t>
            </w:r>
          </w:p>
        </w:tc>
      </w:tr>
    </w:tbl>
    <w:p>
      <w:pPr>
        <w:pStyle w:val="Heading2"/>
        <w:spacing w:after="100" w:before="200"/>
      </w:pPr>
      <w:r>
        <w:rPr>
          <w:rFonts w:ascii="Arial" w:cs="Arial" w:eastAsia="Arial" w:hAnsi="Arial"/>
          <w:b/>
          <w:bCs/>
          <w:i w:val="false"/>
          <w:iCs w:val="false"/>
          <w:color w:val="1565C0"/>
          <w:sz w:val="24"/>
          <w:szCs w:val="24"/>
        </w:rPr>
        <w:t xml:space="preserve">2.2 Menetapkan KPI yang SMART</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KPI yang baik adalah SMART: Specific (jelas apa yang diukur), Measurable (dapat dihitung), Achievable (realistis dengan sumber daya yang ada), Relevant (relevan dengan tujuan PPRA), dan Time-bound (ada batas waktu).</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300"/>
        <w:gridCol w:w="1700"/>
        <w:gridCol w:w="3689"/>
      </w:tblGrid>
      <w:tr>
        <w:trPr>
          <w:tblHeader/>
        </w:trPr>
        <w:tc>
          <w:tcPr>
            <w:tcW w:type="dxa" w:w="13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KPI</w:t>
            </w:r>
          </w:p>
        </w:tc>
        <w:tc>
          <w:tcPr>
            <w:tcW w:type="dxa" w:w="17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Contoh Buruk (Tidak SMART)</w:t>
            </w:r>
          </w:p>
        </w:tc>
        <w:tc>
          <w:tcPr>
            <w:tcW w:type="dxa" w:w="3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Contoh Baik (SMART)</w:t>
            </w:r>
          </w:p>
        </w:tc>
      </w:tr>
      <w:tr>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Gyssens Kat.0</w:t>
            </w:r>
          </w:p>
        </w:tc>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Meningkatkan kualitas penggunaan antibiotik</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Proporsi Gyssens Kat.0 meningkat dari 36% (baseline Q4 2025) menjadi &gt;= 50% pada Q2 2026 dan &gt;= 65% pada Q4 2026</w:t>
            </w:r>
          </w:p>
        </w:tc>
      </w:tr>
      <w:tr>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ASO bedah</w:t>
            </w:r>
          </w:p>
        </w:tc>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Memperbaiki kepatuhan profilaksis bedah</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Kepatuhan stop order profilaksis dalam 24 jam (K4) meningkat dari 0% ke &gt;= 60% pada Q2 2026 dan &gt;= 75% pada Q4 2026</w:t>
            </w:r>
          </w:p>
        </w:tc>
      </w:tr>
      <w:tr>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 DDD</w:t>
            </w:r>
          </w:p>
        </w:tc>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Lebih banyak menggunakan antibiotik ACCESS</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Proporsi konsumsi ACCESS dari total DDD meningkat dari [baseline] ke &gt;= 60% pada Q4 2026</w:t>
            </w:r>
          </w:p>
        </w:tc>
      </w:tr>
      <w:tr>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Pelaporan SIRS</w:t>
            </w:r>
          </w:p>
        </w:tc>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Melaporkan ke Kemenkes</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100% pelaporan SIRS Online tepat waktu (sebelum tanggal 15) untuk 4 triwulan 2026</w:t>
            </w:r>
          </w:p>
        </w:tc>
      </w:tr>
    </w:tbl>
    <w:p>
      <w:pPr>
        <w:pStyle w:val="Heading2"/>
        <w:spacing w:after="100" w:before="200"/>
      </w:pPr>
      <w:r>
        <w:rPr>
          <w:rFonts w:ascii="Arial" w:cs="Arial" w:eastAsia="Arial" w:hAnsi="Arial"/>
          <w:b/>
          <w:bCs/>
          <w:i w:val="false"/>
          <w:iCs w:val="false"/>
          <w:color w:val="1565C0"/>
          <w:sz w:val="24"/>
          <w:szCs w:val="24"/>
        </w:rPr>
        <w:t xml:space="preserve">2.3 Pendekatan Zero-Budget: High-Impact, Low-Cost</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Program PPRA tidak harus bergantung pada anggaran besar. Pendekatan zero-budget mengutamakan intervensi dengan dampak tinggi dan biaya minimal, memanfaatkan sumber daya yang sudah ada.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400"/>
        <w:gridCol w:w="800"/>
        <w:gridCol w:w="4489"/>
      </w:tblGrid>
      <w:tr>
        <w:trPr>
          <w:tblHeader/>
        </w:trPr>
        <w:tc>
          <w:tcPr>
            <w:tcW w:type="dxa" w:w="14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Kegiatan</w:t>
            </w:r>
          </w:p>
        </w:tc>
        <w:tc>
          <w:tcPr>
            <w:tcW w:type="dxa" w:w="8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Biaya Langsung</w:t>
            </w:r>
          </w:p>
        </w:tc>
        <w:tc>
          <w:tcPr>
            <w:tcW w:type="dxa" w:w="44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Cara Melaksanakan dengan Zero-Budget</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Audit Gyssens</w:t>
            </w:r>
          </w:p>
        </w:tc>
        <w:tc>
          <w:tcPr>
            <w:tcW w:type="dxa" w:w="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Nyaris nol</w:t>
            </w:r>
          </w:p>
        </w:tc>
        <w:tc>
          <w:tcPr>
            <w:tcW w:type="dxa" w:w="4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Gunakan rekam medis yang sudah ada; workbook Excel yang dibuat sendiri; apoteker klinis meluangkan 4 jam/minggu terjadwal</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Surveilans DDD</w:t>
            </w:r>
          </w:p>
        </w:tc>
        <w:tc>
          <w:tcPr>
            <w:tcW w:type="dxa" w:w="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Nyaris nol</w:t>
            </w:r>
          </w:p>
        </w:tc>
        <w:tc>
          <w:tcPr>
            <w:tcW w:type="dxa" w:w="4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dari IFRS yang sudah tersedia; spreadsheet Excel; perhitungan manual atau semi-otomatis</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IHT PPRA</w:t>
            </w:r>
          </w:p>
        </w:tc>
        <w:tc>
          <w:tcPr>
            <w:tcW w:type="dxa" w:w="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Minimal</w:t>
            </w:r>
          </w:p>
        </w:tc>
        <w:tc>
          <w:tcPr>
            <w:tcW w:type="dxa" w:w="4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Gunakan fasilitas ruang pertemuan RS; materi PowerPoint dibuat sendiri; fasilitator internal (anggota Tim PRA)</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E-learning / CBL</w:t>
            </w:r>
          </w:p>
        </w:tc>
        <w:tc>
          <w:tcPr>
            <w:tcW w:type="dxa" w:w="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Nyaris nol</w:t>
            </w:r>
          </w:p>
        </w:tc>
        <w:tc>
          <w:tcPr>
            <w:tcW w:type="dxa" w:w="4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Platform Moodle (gratis, open-source); buat modul berbasis kasus; self-paced, tidak perlu hadir fisik</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FORKKIT bulanan</w:t>
            </w:r>
          </w:p>
        </w:tc>
        <w:tc>
          <w:tcPr>
            <w:tcW w:type="dxa" w:w="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Nyaris nol</w:t>
            </w:r>
          </w:p>
        </w:tc>
        <w:tc>
          <w:tcPr>
            <w:tcW w:type="dxa" w:w="4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Manfaatkan ruang rapat yang ada; gabungkan dengan rapat Komite Medik jika memungkinkan; notulen digital</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Dashboard KPI</w:t>
            </w:r>
          </w:p>
        </w:tc>
        <w:tc>
          <w:tcPr>
            <w:tcW w:type="dxa" w:w="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Nyaris nol</w:t>
            </w:r>
          </w:p>
        </w:tc>
        <w:tc>
          <w:tcPr>
            <w:tcW w:type="dxa" w:w="4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Microsoft Excel dengan conditional formatting traffic light; Google Sheets jika berbagi dengan tim</w:t>
            </w:r>
          </w:p>
        </w:tc>
      </w:tr>
    </w:tbl>
    <w:p>
      <w:pPr>
        <w:pageBreakBefore/>
        <w:spacing w:after="20" w:before="0"/>
      </w:pPr>
      <w:r>
        <w:rPr>
          <w:rFonts w:ascii="Arial" w:cs="Arial" w:eastAsia="Arial" w:hAnsi="Arial"/>
          <w:b/>
          <w:bCs/>
          <w:i w:val="false"/>
          <w:iCs w:val="false"/>
          <w:color w:val="1565C0"/>
          <w:sz w:val="20"/>
          <w:szCs w:val="20"/>
        </w:rPr>
        <w:t xml:space="preserve">BAB 3</w:t>
      </w:r>
    </w:p>
    <w:p>
      <w:pPr>
        <w:pStyle w:val="Heading1"/>
        <w:spacing w:after="100" w:before="0"/>
      </w:pPr>
      <w:r>
        <w:rPr>
          <w:rFonts w:ascii="Arial" w:cs="Arial" w:eastAsia="Arial" w:hAnsi="Arial"/>
          <w:b/>
          <w:bCs/>
          <w:i w:val="false"/>
          <w:iCs w:val="false"/>
          <w:color w:val="0B3D6B"/>
          <w:sz w:val="28"/>
          <w:szCs w:val="28"/>
        </w:rPr>
        <w:t xml:space="preserve">KEPEMIMPINAN DAN KOORDINASI TIM PRA</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1565C0"/>
          <w:sz w:val="24"/>
          <w:szCs w:val="24"/>
        </w:rPr>
        <w:t xml:space="preserve">3.1 Pola Koordinasi Lintas Komite yang Efektif</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Tim PRA tidak bekerja dalam silo. Efektivitasnya sangat bergantung pada koordinasi dengan komite dan unit lain di RS. Pola koordinasi yang terstruktur mencegah tumpang tindih dan memastikan sinergi.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400"/>
        <w:gridCol w:w="2500"/>
        <w:gridCol w:w="2789"/>
      </w:tblGrid>
      <w:tr>
        <w:trPr>
          <w:tblHeader/>
        </w:trPr>
        <w:tc>
          <w:tcPr>
            <w:tcW w:type="dxa" w:w="14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Mitra Koordinasi</w:t>
            </w:r>
          </w:p>
        </w:tc>
        <w:tc>
          <w:tcPr>
            <w:tcW w:type="dxa" w:w="25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Topik Kolaborasi Utama</w:t>
            </w:r>
          </w:p>
        </w:tc>
        <w:tc>
          <w:tcPr>
            <w:tcW w:type="dxa" w:w="27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Frekuensi Ideal</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Direktur RS</w:t>
            </w:r>
          </w:p>
        </w:tc>
        <w:tc>
          <w:tcPr>
            <w:tcW w:type="dxa" w:w="2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Laporan KPI triwulanan; pengajuan kebijakan/SK; eskalasi masalah struktural (anggaran, SDM)</w:t>
            </w:r>
          </w:p>
        </w:tc>
        <w:tc>
          <w:tcPr>
            <w:tcW w:type="dxa" w:w="27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Triwulanan + insidental</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Komite Medik</w:t>
            </w:r>
          </w:p>
        </w:tc>
        <w:tc>
          <w:tcPr>
            <w:tcW w:type="dxa" w:w="2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Feedback agregat ke DPJP; review dan pengesahan PPK dengan komponen AMS; FORKKIT bersama</w:t>
            </w:r>
          </w:p>
        </w:tc>
        <w:tc>
          <w:tcPr>
            <w:tcW w:type="dxa" w:w="27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Bulanan (via FORKKIT) + triwulanan (rapat Komite)</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Tim PMKP</w:t>
            </w:r>
          </w:p>
        </w:tc>
        <w:tc>
          <w:tcPr>
            <w:tcW w:type="dxa" w:w="2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Integrasi KPI PPRA ke dalam dashboard mutu RS; CAPA bersama; laporan insiden terkait HAI</w:t>
            </w:r>
          </w:p>
        </w:tc>
        <w:tc>
          <w:tcPr>
            <w:tcW w:type="dxa" w:w="27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Triwulanan + insidental</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KFT (Komite Farmasi dan Terapi)</w:t>
            </w:r>
          </w:p>
        </w:tc>
        <w:tc>
          <w:tcPr>
            <w:tcW w:type="dxa" w:w="2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Formularium dan ketersediaan antibiotik; penghapusan/penambahan obat; PGA pre-authorization WATCH/RESERVE</w:t>
            </w:r>
          </w:p>
        </w:tc>
        <w:tc>
          <w:tcPr>
            <w:tcW w:type="dxa" w:w="27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Bulanan atau sesuai agenda KFT</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Tim PPI</w:t>
            </w:r>
          </w:p>
        </w:tc>
        <w:tc>
          <w:tcPr>
            <w:tcW w:type="dxa" w:w="2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Surveilans HAI yang berkaitan dengan penggunaan AB; MDRO alert bersama; bundle pencegahan</w:t>
            </w:r>
          </w:p>
        </w:tc>
        <w:tc>
          <w:tcPr>
            <w:tcW w:type="dxa" w:w="27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Bulanan (koordinasi data) + insidental (outbreak)</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IFRS (Instalasi Farmasi)</w:t>
            </w:r>
          </w:p>
        </w:tc>
        <w:tc>
          <w:tcPr>
            <w:tcW w:type="dxa" w:w="2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konsumsi antibiotik untuk DDD; prospektif reviu; penyiapan antibiotik profilaksis bedah</w:t>
            </w:r>
          </w:p>
        </w:tc>
        <w:tc>
          <w:tcPr>
            <w:tcW w:type="dxa" w:w="27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Bulanan (data) + mingguan (reviu)</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Laboratorium Mikrobiologi</w:t>
            </w:r>
          </w:p>
        </w:tc>
        <w:tc>
          <w:tcPr>
            <w:tcW w:type="dxa" w:w="2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isolat dan sensitivitas untuk antibiogram; alert MDRO ke Tim PRA</w:t>
            </w:r>
          </w:p>
        </w:tc>
        <w:tc>
          <w:tcPr>
            <w:tcW w:type="dxa" w:w="27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Bulanan (data isolat) + segera (kasus MDR kritis)</w:t>
            </w:r>
          </w:p>
        </w:tc>
      </w:tr>
    </w:tbl>
    <w:p>
      <w:pPr>
        <w:pStyle w:val="Heading2"/>
        <w:spacing w:after="100" w:before="200"/>
      </w:pPr>
      <w:r>
        <w:rPr>
          <w:rFonts w:ascii="Arial" w:cs="Arial" w:eastAsia="Arial" w:hAnsi="Arial"/>
          <w:b/>
          <w:bCs/>
          <w:i w:val="false"/>
          <w:iCs w:val="false"/>
          <w:color w:val="1565C0"/>
          <w:sz w:val="24"/>
          <w:szCs w:val="24"/>
        </w:rPr>
        <w:t xml:space="preserve">3.2 Mengelola Resistensi dari DPJP</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Hambatan terbesar implementasi PPRA di lapangan adalah resistensi dari dokter yang merasa "dikontrol" oleh apoteker atau Tim PRA. Pendekatan berikut terbukti lebih efektif dari pendekatan konfrontatif:</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Strategi</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Penjelasan dan Contoh Penerapan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Feedback individual yang konstruktif dan konfidensial</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Berikan laporan satu halaman kepada masing-masing DPJP: "Proporsi penggunaan AB rasional Anda bulan ini: 45% (rerata RS: 50%)." Bersifat konfidensial — tidak dipublikasi ke forum umum. Datanya memotivasi tanpa mempermalukan.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agregat positif di forum</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Presentasikan tren perbaikan keseluruhan di rapat Komite Medik: "Gyssens Kat.0 RS kita naik dari 36% ke 48% dalam 3 bulan." Dokter terdorong untuk berkontribusi pada tren positif.</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Libatkan champion dokter</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Identifikasi 2-3 dokter yang sudah memiliki praktik PGA baik. Libatkan mereka sebagai role model dan champion bangsal. Kolega lebih mudah menerima dari sesama dokter.</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Framing rekomendasi bukan perintah</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Apoteker dan Tim PRA memberikan "rekomendasi" dengan data, bukan "instruksi". Keputusan akhir tetap di tangan DPJP — namun DPJP harus mendokumentasikan alasan jika tidak mengikuti rekomendasi.</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Sertakan dalam penilaian kinerja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Koordinasikan dengan manajemen RS: jadikan data PPRA (proporsi Gyssens Kat.0, kepatuhan ASO) sebagai salah satu komponen evaluasi kinerja DPJP — dengan bobot yang proporsional dan disepakati bersama.</w:t>
            </w:r>
          </w:p>
        </w:tc>
      </w:tr>
    </w:tbl>
    <w:p>
      <w:pPr>
        <w:pStyle w:val="Heading2"/>
        <w:spacing w:after="100" w:before="200"/>
      </w:pPr>
      <w:r>
        <w:rPr>
          <w:rFonts w:ascii="Arial" w:cs="Arial" w:eastAsia="Arial" w:hAnsi="Arial"/>
          <w:b/>
          <w:bCs/>
          <w:i w:val="false"/>
          <w:iCs w:val="false"/>
          <w:color w:val="1565C0"/>
          <w:sz w:val="24"/>
          <w:szCs w:val="24"/>
        </w:rPr>
        <w:t xml:space="preserve">3.3 Membangun Tim PRA yang Fungsional</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Aspek</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Praktik Terbaik</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Distribusi beban kerja yang adil</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Tetapkan jam kerja PPRA dalam job description resmi masing-masing anggota: apoteker klinis 4 jam/minggu audit, perawat 2 jam/minggu data stop order, dan seterusnya.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Rapat tim yang efisien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Rapat Tim PRA maksimal 60-90 menit; agenda terstandar (KPI review 15 mnt, kasus 20 mnt, program 20 mnt, tindak lanjut 15 mnt); notulen terkirim dalam 24 jam.</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Apresiasi dan pengakuan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Kenali kontribusi anggota tim secara eksplisit dalam laporan dan rapat. Rekomendasikan pelatihan eksternal sebagai reward. Kontribusi Tim PRA tercatat dalam portofolio kepegawaian.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Penanganan anggota tidak aktif</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Bicara langsung dan privat. Pahami hambatannya (beban klinis berlebih? Kurang motivasi?). Jika tidak dapat diselesaikan: dokumentasikan, escalate ke Direktur via jalur resmi.</w:t>
            </w:r>
          </w:p>
        </w:tc>
      </w:tr>
    </w:tbl>
    <w:p>
      <w:pPr>
        <w:pageBreakBefore/>
        <w:spacing w:after="20" w:before="0"/>
      </w:pPr>
      <w:r>
        <w:rPr>
          <w:rFonts w:ascii="Arial" w:cs="Arial" w:eastAsia="Arial" w:hAnsi="Arial"/>
          <w:b/>
          <w:bCs/>
          <w:i w:val="false"/>
          <w:iCs w:val="false"/>
          <w:color w:val="1565C0"/>
          <w:sz w:val="20"/>
          <w:szCs w:val="20"/>
        </w:rPr>
        <w:t xml:space="preserve">BAB 4</w:t>
      </w:r>
    </w:p>
    <w:p>
      <w:pPr>
        <w:pStyle w:val="Heading1"/>
        <w:spacing w:after="100" w:before="0"/>
      </w:pPr>
      <w:r>
        <w:rPr>
          <w:rFonts w:ascii="Arial" w:cs="Arial" w:eastAsia="Arial" w:hAnsi="Arial"/>
          <w:b/>
          <w:bCs/>
          <w:i w:val="false"/>
          <w:iCs w:val="false"/>
          <w:color w:val="0B3D6B"/>
          <w:sz w:val="28"/>
          <w:szCs w:val="28"/>
        </w:rPr>
        <w:t xml:space="preserve">MANAJEMEN DATA DAN DASHBOARD KPI</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1565C0"/>
          <w:sz w:val="24"/>
          <w:szCs w:val="24"/>
        </w:rPr>
        <w:t xml:space="preserve">4.1 Alur Pengumpulan Data PPRA</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Sistem data yang baik mengalir dari sumber ke dashboard KPI secara teratur dan terstandar. Tanpa sistem ini, laporan triwulanan akan selalu "buru-buru di menit terakhir".</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1300"/>
        <w:gridCol w:w="1200"/>
        <w:gridCol w:w="900"/>
        <w:gridCol w:w="2089"/>
      </w:tblGrid>
      <w:tr>
        <w:trPr>
          <w:tblHeader/>
        </w:trPr>
        <w:tc>
          <w:tcPr>
            <w:tcW w:type="dxa" w:w="12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Jenis Data</w:t>
            </w:r>
          </w:p>
        </w:tc>
        <w:tc>
          <w:tcPr>
            <w:tcW w:type="dxa" w:w="13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Sumber Data</w:t>
            </w:r>
          </w:p>
        </w:tc>
        <w:tc>
          <w:tcPr>
            <w:tcW w:type="dxa" w:w="12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PIC Pengumpulan</w:t>
            </w:r>
          </w:p>
        </w:tc>
        <w:tc>
          <w:tcPr>
            <w:tcW w:type="dxa" w:w="9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Frekuensi</w:t>
            </w:r>
          </w:p>
        </w:tc>
        <w:tc>
          <w:tcPr>
            <w:tcW w:type="dxa" w:w="20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 mana Masuk?</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Konsumsi antibiotik</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(untuk DDD)</w:t>
            </w:r>
          </w:p>
        </w:tc>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IFRS: data pengeluaran AB per bangsal</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Apoteker klinis</w:t>
            </w:r>
          </w:p>
        </w:tc>
        <w:tc>
          <w:tcPr>
            <w:tcW w:type="dxa" w:w="9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Bulanan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(tanggal 5 bulan berikutnya)</w:t>
            </w:r>
          </w:p>
        </w:tc>
        <w:tc>
          <w:tcPr>
            <w:tcW w:type="dxa" w:w="2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Workbook DDD Excel</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Patient-days</w:t>
            </w:r>
          </w:p>
        </w:tc>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Rekam Medis / sensus harian</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Petugas RM / Sekretaris Tim</w:t>
            </w:r>
          </w:p>
        </w:tc>
        <w:tc>
          <w:tcPr>
            <w:tcW w:type="dxa" w:w="9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Bulanan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(tanggal 5)</w:t>
            </w:r>
          </w:p>
        </w:tc>
        <w:tc>
          <w:tcPr>
            <w:tcW w:type="dxa" w:w="2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Workbook DDD Excel</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rekam medis untuk Gyssens</w:t>
            </w:r>
          </w:p>
        </w:tc>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RM rawat inap (sampling)</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Apoteker klinis + Sekretaris</w:t>
            </w:r>
          </w:p>
        </w:tc>
        <w:tc>
          <w:tcPr>
            <w:tcW w:type="dxa" w:w="9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Bulanan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(20-25 RM/bulan)</w:t>
            </w:r>
          </w:p>
        </w:tc>
        <w:tc>
          <w:tcPr>
            <w:tcW w:type="dxa" w:w="2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Workbook Gyssens Excel</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profilaksis bedah K1-K4</w:t>
            </w:r>
          </w:p>
        </w:tc>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Lembar anestesi + RM pasien operasi</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Perawat OK / Sekretaris</w:t>
            </w:r>
          </w:p>
        </w:tc>
        <w:tc>
          <w:tcPr>
            <w:tcW w:type="dxa" w:w="9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Bulanan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(semua kasus operasi)</w:t>
            </w:r>
          </w:p>
        </w:tc>
        <w:tc>
          <w:tcPr>
            <w:tcW w:type="dxa" w:w="2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Workbook PAB Excel</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kultur dan isolat</w:t>
            </w:r>
          </w:p>
        </w:tc>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Lab internal / eksternal (data agregat)</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Anggota tim lab</w:t>
            </w:r>
          </w:p>
        </w:tc>
        <w:tc>
          <w:tcPr>
            <w:tcW w:type="dxa" w:w="9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Bulanan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(tanggal 10)</w:t>
            </w:r>
          </w:p>
        </w:tc>
        <w:tc>
          <w:tcPr>
            <w:tcW w:type="dxa" w:w="2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Workbook Antibiogram Excel</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Notulen rapat + FORKKIT</w:t>
            </w:r>
          </w:p>
        </w:tc>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Notulis</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Sekretaris Tim PRA</w:t>
            </w:r>
          </w:p>
        </w:tc>
        <w:tc>
          <w:tcPr>
            <w:tcW w:type="dxa" w:w="9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Setiap rapat</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(dalam 24 jam)</w:t>
            </w:r>
          </w:p>
        </w:tc>
        <w:tc>
          <w:tcPr>
            <w:tcW w:type="dxa" w:w="2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Folder digital Tim PRA</w:t>
            </w:r>
          </w:p>
        </w:tc>
      </w:tr>
    </w:tbl>
    <w:p>
      <w:pPr>
        <w:pStyle w:val="Heading2"/>
        <w:spacing w:after="100" w:before="200"/>
      </w:pPr>
      <w:r>
        <w:rPr>
          <w:rFonts w:ascii="Arial" w:cs="Arial" w:eastAsia="Arial" w:hAnsi="Arial"/>
          <w:b/>
          <w:bCs/>
          <w:i w:val="false"/>
          <w:iCs w:val="false"/>
          <w:color w:val="1565C0"/>
          <w:sz w:val="24"/>
          <w:szCs w:val="24"/>
        </w:rPr>
        <w:t xml:space="preserve">4.2 Dashboard KPI dengan Sistem Traffic Light</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Dashboard KPI yang efektif adalah visual, sederhana, dan dapat dibaca dalam &lt; 30 detik. Sistem traffic light (hijau-kuning-merah) adalah standar manajemen yang intuitif.</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700"/>
        <w:gridCol w:w="1700"/>
        <w:gridCol w:w="1600"/>
        <w:gridCol w:w="1689"/>
      </w:tblGrid>
      <w:tr>
        <w:trPr>
          <w:tblHeader/>
        </w:trPr>
        <w:tc>
          <w:tcPr>
            <w:tcW w:type="dxa" w:w="17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KPI</w:t>
            </w:r>
          </w:p>
        </w:tc>
        <w:tc>
          <w:tcPr>
            <w:tcW w:type="dxa" w:w="17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Merah (Perlu Tindakan Segera)</w:t>
            </w:r>
          </w:p>
        </w:tc>
        <w:tc>
          <w:tcPr>
            <w:tcW w:type="dxa" w:w="16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Kuning (Pantau)</w:t>
            </w:r>
          </w:p>
        </w:tc>
        <w:tc>
          <w:tcPr>
            <w:tcW w:type="dxa" w:w="1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Hijau (Sesuai Target)</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Gyssens Kat.0</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&gt;= 60%)</w:t>
            </w:r>
          </w:p>
        </w:tc>
        <w:tc>
          <w:tcPr>
            <w:tcW w:type="dxa" w:w="1700"/>
            <w:tcBorders>
              <w:top w:val="single" w:color="90CAF9" w:sz="1"/>
              <w:left w:val="single" w:color="90CAF9" w:sz="1"/>
              <w:bottom w:val="single" w:color="90CAF9" w:sz="1"/>
              <w:right w:val="single" w:color="90CAF9"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&lt; 50%</w:t>
            </w:r>
          </w:p>
        </w:tc>
        <w:tc>
          <w:tcPr>
            <w:tcW w:type="dxa" w:w="1600"/>
            <w:tcBorders>
              <w:top w:val="single" w:color="90CAF9" w:sz="1"/>
              <w:left w:val="single" w:color="90CAF9" w:sz="1"/>
              <w:bottom w:val="single" w:color="90CAF9" w:sz="1"/>
              <w:right w:val="single" w:color="90CAF9"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50 - 59%</w:t>
            </w:r>
          </w:p>
        </w:tc>
        <w:tc>
          <w:tcPr>
            <w:tcW w:type="dxa" w:w="1689"/>
            <w:tcBorders>
              <w:top w:val="single" w:color="90CAF9" w:sz="1"/>
              <w:left w:val="single" w:color="90CAF9" w:sz="1"/>
              <w:bottom w:val="single" w:color="90CAF9" w:sz="1"/>
              <w:right w:val="single" w:color="90CAF9"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60%</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DDD ACCESS%</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&gt;= 60%)</w:t>
            </w:r>
          </w:p>
        </w:tc>
        <w:tc>
          <w:tcPr>
            <w:tcW w:type="dxa" w:w="1700"/>
            <w:tcBorders>
              <w:top w:val="single" w:color="90CAF9" w:sz="1"/>
              <w:left w:val="single" w:color="90CAF9" w:sz="1"/>
              <w:bottom w:val="single" w:color="90CAF9" w:sz="1"/>
              <w:right w:val="single" w:color="90CAF9"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&lt; 50%</w:t>
            </w:r>
          </w:p>
        </w:tc>
        <w:tc>
          <w:tcPr>
            <w:tcW w:type="dxa" w:w="1600"/>
            <w:tcBorders>
              <w:top w:val="single" w:color="90CAF9" w:sz="1"/>
              <w:left w:val="single" w:color="90CAF9" w:sz="1"/>
              <w:bottom w:val="single" w:color="90CAF9" w:sz="1"/>
              <w:right w:val="single" w:color="90CAF9"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50 - 59%</w:t>
            </w:r>
          </w:p>
        </w:tc>
        <w:tc>
          <w:tcPr>
            <w:tcW w:type="dxa" w:w="1689"/>
            <w:tcBorders>
              <w:top w:val="single" w:color="90CAF9" w:sz="1"/>
              <w:left w:val="single" w:color="90CAF9" w:sz="1"/>
              <w:bottom w:val="single" w:color="90CAF9" w:sz="1"/>
              <w:right w:val="single" w:color="90CAF9"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60%</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ASO bedah K4</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&gt;= 75%)</w:t>
            </w:r>
          </w:p>
        </w:tc>
        <w:tc>
          <w:tcPr>
            <w:tcW w:type="dxa" w:w="1700"/>
            <w:tcBorders>
              <w:top w:val="single" w:color="90CAF9" w:sz="1"/>
              <w:left w:val="single" w:color="90CAF9" w:sz="1"/>
              <w:bottom w:val="single" w:color="90CAF9" w:sz="1"/>
              <w:right w:val="single" w:color="90CAF9"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&lt; 60%</w:t>
            </w:r>
          </w:p>
        </w:tc>
        <w:tc>
          <w:tcPr>
            <w:tcW w:type="dxa" w:w="1600"/>
            <w:tcBorders>
              <w:top w:val="single" w:color="90CAF9" w:sz="1"/>
              <w:left w:val="single" w:color="90CAF9" w:sz="1"/>
              <w:bottom w:val="single" w:color="90CAF9" w:sz="1"/>
              <w:right w:val="single" w:color="90CAF9"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60 - 74%</w:t>
            </w:r>
          </w:p>
        </w:tc>
        <w:tc>
          <w:tcPr>
            <w:tcW w:type="dxa" w:w="1689"/>
            <w:tcBorders>
              <w:top w:val="single" w:color="90CAF9" w:sz="1"/>
              <w:left w:val="single" w:color="90CAF9" w:sz="1"/>
              <w:bottom w:val="single" w:color="90CAF9" w:sz="1"/>
              <w:right w:val="single" w:color="90CAF9"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75%</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Ketepatan pemilihan AB K1</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&gt;= 80%)</w:t>
            </w:r>
          </w:p>
        </w:tc>
        <w:tc>
          <w:tcPr>
            <w:tcW w:type="dxa" w:w="1700"/>
            <w:tcBorders>
              <w:top w:val="single" w:color="90CAF9" w:sz="1"/>
              <w:left w:val="single" w:color="90CAF9" w:sz="1"/>
              <w:bottom w:val="single" w:color="90CAF9" w:sz="1"/>
              <w:right w:val="single" w:color="90CAF9"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&lt; 70%</w:t>
            </w:r>
          </w:p>
        </w:tc>
        <w:tc>
          <w:tcPr>
            <w:tcW w:type="dxa" w:w="1600"/>
            <w:tcBorders>
              <w:top w:val="single" w:color="90CAF9" w:sz="1"/>
              <w:left w:val="single" w:color="90CAF9" w:sz="1"/>
              <w:bottom w:val="single" w:color="90CAF9" w:sz="1"/>
              <w:right w:val="single" w:color="90CAF9"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70 - 79%</w:t>
            </w:r>
          </w:p>
        </w:tc>
        <w:tc>
          <w:tcPr>
            <w:tcW w:type="dxa" w:w="1689"/>
            <w:tcBorders>
              <w:top w:val="single" w:color="90CAF9" w:sz="1"/>
              <w:left w:val="single" w:color="90CAF9" w:sz="1"/>
              <w:bottom w:val="single" w:color="90CAF9" w:sz="1"/>
              <w:right w:val="single" w:color="90CAF9"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80%</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SIRS Online tepat waktu</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100%)</w:t>
            </w:r>
          </w:p>
        </w:tc>
        <w:tc>
          <w:tcPr>
            <w:tcW w:type="dxa" w:w="1700"/>
            <w:tcBorders>
              <w:top w:val="single" w:color="90CAF9" w:sz="1"/>
              <w:left w:val="single" w:color="90CAF9" w:sz="1"/>
              <w:bottom w:val="single" w:color="90CAF9" w:sz="1"/>
              <w:right w:val="single" w:color="90CAF9"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Terlambat / tidak lapor</w:t>
            </w:r>
          </w:p>
        </w:tc>
        <w:tc>
          <w:tcPr>
            <w:tcW w:type="dxa" w:w="1600"/>
            <w:tcBorders>
              <w:top w:val="single" w:color="90CAF9" w:sz="1"/>
              <w:left w:val="single" w:color="90CAF9" w:sz="1"/>
              <w:bottom w:val="single" w:color="90CAF9" w:sz="1"/>
              <w:right w:val="single" w:color="90CAF9"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t>
            </w:r>
          </w:p>
        </w:tc>
        <w:tc>
          <w:tcPr>
            <w:tcW w:type="dxa" w:w="1689"/>
            <w:tcBorders>
              <w:top w:val="single" w:color="90CAF9" w:sz="1"/>
              <w:left w:val="single" w:color="90CAF9" w:sz="1"/>
              <w:bottom w:val="single" w:color="90CAF9" w:sz="1"/>
              <w:right w:val="single" w:color="90CAF9"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Lapor sebelum tgl 15</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FORKKIT</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&gt;= 10x/tahun)</w:t>
            </w:r>
          </w:p>
        </w:tc>
        <w:tc>
          <w:tcPr>
            <w:tcW w:type="dxa" w:w="1700"/>
            <w:tcBorders>
              <w:top w:val="single" w:color="90CAF9" w:sz="1"/>
              <w:left w:val="single" w:color="90CAF9" w:sz="1"/>
              <w:bottom w:val="single" w:color="90CAF9" w:sz="1"/>
              <w:right w:val="single" w:color="90CAF9"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&lt; 7x/tahun</w:t>
            </w:r>
          </w:p>
        </w:tc>
        <w:tc>
          <w:tcPr>
            <w:tcW w:type="dxa" w:w="1600"/>
            <w:tcBorders>
              <w:top w:val="single" w:color="90CAF9" w:sz="1"/>
              <w:left w:val="single" w:color="90CAF9" w:sz="1"/>
              <w:bottom w:val="single" w:color="90CAF9" w:sz="1"/>
              <w:right w:val="single" w:color="90CAF9"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7 - 9x/tahun</w:t>
            </w:r>
          </w:p>
        </w:tc>
        <w:tc>
          <w:tcPr>
            <w:tcW w:type="dxa" w:w="1689"/>
            <w:tcBorders>
              <w:top w:val="single" w:color="90CAF9" w:sz="1"/>
              <w:left w:val="single" w:color="90CAF9" w:sz="1"/>
              <w:bottom w:val="single" w:color="90CAF9" w:sz="1"/>
              <w:right w:val="single" w:color="90CAF9"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10x/tahun</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1565C0" w:sz="1"/>
              <w:left w:val="single" w:color="1565C0" w:sz="1"/>
              <w:bottom w:val="single" w:color="1565C0" w:sz="1"/>
              <w:right w:val="single" w:color="1565C0" w:sz="1"/>
            </w:tcBorders>
            <w:shd w:fill="E3F2FD"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bCs/>
                <w:i w:val="false"/>
                <w:iCs w:val="false"/>
                <w:color w:val="1A1A1A"/>
                <w:sz w:val="18"/>
                <w:szCs w:val="18"/>
              </w:rPr>
              <w:t xml:space="preserve">KUNCI: Dashboard KPI harus diperbarui setiap bulan dan ditampilkan dalam rapat Tim PRA.</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Tidak perlu software mahal — Excel dengan conditional formatting sudah cukup.</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Simpan screenshot dashboard setiap bulan sebagai dokumen arsip bukti akreditasi.</w:t>
            </w:r>
          </w:p>
        </w:tc>
      </w:tr>
    </w:tbl>
    <w:p>
      <w:pPr>
        <w:pStyle w:val="Heading2"/>
        <w:spacing w:after="100" w:before="200"/>
      </w:pPr>
      <w:r>
        <w:rPr>
          <w:rFonts w:ascii="Arial" w:cs="Arial" w:eastAsia="Arial" w:hAnsi="Arial"/>
          <w:b/>
          <w:bCs/>
          <w:i w:val="false"/>
          <w:iCs w:val="false"/>
          <w:color w:val="1565C0"/>
          <w:sz w:val="24"/>
          <w:szCs w:val="24"/>
        </w:rPr>
        <w:t xml:space="preserve">4.3 Tata Kelola Arsip Digital Tim PRA</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Struktur folder digital yang terstandar memastikan semua dokumen mudah ditemukan saat dibutuhkan — terutama menjelang survei akreditasi. Rekomendasi struktur di Google Drive atau server RS:</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500"/>
        <w:gridCol w:w="1500"/>
        <w:gridCol w:w="3689"/>
      </w:tblGrid>
      <w:tr>
        <w:trPr>
          <w:tblHeader/>
        </w:trPr>
        <w:tc>
          <w:tcPr>
            <w:tcW w:type="dxa" w:w="15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Folder Utama</w:t>
            </w:r>
          </w:p>
        </w:tc>
        <w:tc>
          <w:tcPr>
            <w:tcW w:type="dxa" w:w="15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Sub-folder</w:t>
            </w:r>
          </w:p>
        </w:tc>
        <w:tc>
          <w:tcPr>
            <w:tcW w:type="dxa" w:w="3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Isi</w:t>
            </w:r>
          </w:p>
        </w:tc>
      </w:tr>
      <w:tr>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01_REGULASI</w:t>
            </w:r>
          </w:p>
        </w:tc>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SK_Direktur, SPO, Pedoman, Program_Kerja</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Semua dokumen regulasi yang sudah ditetapkan Direktur</w:t>
            </w:r>
          </w:p>
        </w:tc>
      </w:tr>
      <w:tr>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02_SURVEILANS</w:t>
            </w:r>
          </w:p>
        </w:tc>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DDD, Gyssens, PAB, Antibiogram</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Workbook Excel per tahun; laporan per triwulan</w:t>
            </w:r>
          </w:p>
        </w:tc>
      </w:tr>
      <w:tr>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03_FORKKIT</w:t>
            </w:r>
          </w:p>
        </w:tc>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[Tahun]/[Bulan]</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Notulen + daftar hadir per sesi</w:t>
            </w:r>
          </w:p>
        </w:tc>
      </w:tr>
      <w:tr>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04_RAPAT_TIM</w:t>
            </w:r>
          </w:p>
        </w:tc>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[Tahun]/[Bulan]</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Notulen rapat Tim PRA + daftar hadir</w:t>
            </w:r>
          </w:p>
        </w:tc>
      </w:tr>
      <w:tr>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05_LAPORAN</w:t>
            </w:r>
          </w:p>
        </w:tc>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Bulanan, Triwulanan, Tahunan</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Laporan dalam format PDF yang sudah ditandatangani</w:t>
            </w:r>
          </w:p>
        </w:tc>
      </w:tr>
      <w:tr>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06_EDUKASI</w:t>
            </w:r>
          </w:p>
        </w:tc>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IHT, CBL, Materi</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Materi pelatihan, daftar hadir, sertifikat</w:t>
            </w:r>
          </w:p>
        </w:tc>
      </w:tr>
      <w:tr>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07_SIRS_ONLINE</w:t>
            </w:r>
          </w:p>
        </w:tc>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Screenshot_submission</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Bukti screenshot pengiriman per triwulan</w:t>
            </w:r>
          </w:p>
        </w:tc>
      </w:tr>
      <w:tr>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08_AKREDITASI</w:t>
            </w:r>
          </w:p>
        </w:tc>
        <w:tc>
          <w:tcPr>
            <w:tcW w:type="dxa" w:w="1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Checklist, Dokumen_survei</w:t>
            </w:r>
          </w:p>
        </w:tc>
        <w:tc>
          <w:tcPr>
            <w:tcW w:type="dxa" w:w="3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Dokumen yang disiapkan untuk survei KARS</w:t>
            </w:r>
          </w:p>
        </w:tc>
      </w:tr>
    </w:tbl>
    <w:p>
      <w:pPr>
        <w:pageBreakBefore/>
        <w:spacing w:after="20" w:before="0"/>
      </w:pPr>
      <w:r>
        <w:rPr>
          <w:rFonts w:ascii="Arial" w:cs="Arial" w:eastAsia="Arial" w:hAnsi="Arial"/>
          <w:b/>
          <w:bCs/>
          <w:i w:val="false"/>
          <w:iCs w:val="false"/>
          <w:color w:val="1565C0"/>
          <w:sz w:val="20"/>
          <w:szCs w:val="20"/>
        </w:rPr>
        <w:t xml:space="preserve">BAB 5</w:t>
      </w:r>
    </w:p>
    <w:p>
      <w:pPr>
        <w:pStyle w:val="Heading1"/>
        <w:spacing w:after="100" w:before="0"/>
      </w:pPr>
      <w:r>
        <w:rPr>
          <w:rFonts w:ascii="Arial" w:cs="Arial" w:eastAsia="Arial" w:hAnsi="Arial"/>
          <w:b/>
          <w:bCs/>
          <w:i w:val="false"/>
          <w:iCs w:val="false"/>
          <w:color w:val="0B3D6B"/>
          <w:sz w:val="28"/>
          <w:szCs w:val="28"/>
        </w:rPr>
        <w:t xml:space="preserve">SIKLUS PDCA DALAM MANAJEMEN PROGRAM PPRA</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1565C0"/>
          <w:sz w:val="24"/>
          <w:szCs w:val="24"/>
        </w:rPr>
        <w:t xml:space="preserve">5.1 Kerangka PDCA untuk PPRA</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PDCA (Plan-Do-Check-Act) adalah siklus peningkatan mutu yang paling relevan untuk PPRA karena memungkinkan perbaikan berkelanjutan yang terstruktur. Setiap triwulan adalah satu siklus PDCA mini.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800"/>
        <w:gridCol w:w="3900"/>
        <w:gridCol w:w="1989"/>
      </w:tblGrid>
      <w:tr>
        <w:trPr>
          <w:tblHeader/>
        </w:trPr>
        <w:tc>
          <w:tcPr>
            <w:tcW w:type="dxa" w:w="8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Fase</w:t>
            </w:r>
          </w:p>
        </w:tc>
        <w:tc>
          <w:tcPr>
            <w:tcW w:type="dxa" w:w="39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Dalam Konteks PPRA</w:t>
            </w:r>
          </w:p>
        </w:tc>
        <w:tc>
          <w:tcPr>
            <w:tcW w:type="dxa" w:w="19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Waktu Pelaksanaan</w:t>
            </w:r>
          </w:p>
        </w:tc>
      </w:tr>
      <w:tr>
        <w:tc>
          <w:tcPr>
            <w:tcW w:type="dxa" w:w="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PLAN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(Rencanakan)</w:t>
            </w:r>
          </w:p>
        </w:tc>
        <w:tc>
          <w:tcPr>
            <w:tcW w:type="dxa" w:w="39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Susun/revisi Program Kerja dengan KPI SMART</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Tetapkan baseline dan target per triwulan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Identifikasi hambatan potensial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Rencanakan intervensi spesifik</w:t>
            </w:r>
          </w:p>
        </w:tc>
        <w:tc>
          <w:tcPr>
            <w:tcW w:type="dxa" w:w="19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Desember - Januari</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(awal tahun program)</w:t>
            </w:r>
          </w:p>
        </w:tc>
      </w:tr>
      <w:tr>
        <w:tc>
          <w:tcPr>
            <w:tcW w:type="dxa" w:w="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DO</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(Laksanakan)</w:t>
            </w:r>
          </w:p>
        </w:tc>
        <w:tc>
          <w:tcPr>
            <w:tcW w:type="dxa" w:w="39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Implementasikan semua kegiatan sesuai jadwal: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audit Gyssens, surveilans DDD, FORKKIT, IHT, pelaporan SIRS Online</w:t>
            </w:r>
          </w:p>
        </w:tc>
        <w:tc>
          <w:tcPr>
            <w:tcW w:type="dxa" w:w="19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Sepanjang tahun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(bulanan)</w:t>
            </w:r>
          </w:p>
        </w:tc>
      </w:tr>
      <w:tr>
        <w:tc>
          <w:tcPr>
            <w:tcW w:type="dxa" w:w="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CHECK</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(Evaluasi)</w:t>
            </w:r>
          </w:p>
        </w:tc>
        <w:tc>
          <w:tcPr>
            <w:tcW w:type="dxa" w:w="39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Review KPI vs target dalam rapat Tim PRA</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Analisis gap dan tren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Identifikasi root cause untuk KPI yang tidak tercapai</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Dokumentasikan temuan dalam notulen</w:t>
            </w:r>
          </w:p>
        </w:tc>
        <w:tc>
          <w:tcPr>
            <w:tcW w:type="dxa" w:w="19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Setiap bulan (ringan)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Setiap triwulan (komprehensif)</w:t>
            </w:r>
          </w:p>
        </w:tc>
      </w:tr>
      <w:tr>
        <w:tc>
          <w:tcPr>
            <w:tcW w:type="dxa" w:w="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ACT</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(Tindak Lanjut)</w:t>
            </w:r>
          </w:p>
        </w:tc>
        <w:tc>
          <w:tcPr>
            <w:tcW w:type="dxa" w:w="39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Tetapkan CAPA (Corrective and Preventive Action)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Implementasikan perbaikan</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Jika KPI tercapai: pertahankan dan tingkatkan target</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Update Program Kerja untuk siklus berikutnya</w:t>
            </w:r>
          </w:p>
        </w:tc>
        <w:tc>
          <w:tcPr>
            <w:tcW w:type="dxa" w:w="19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Segera setelah CHECK</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Review di siklus berikutnya</w:t>
            </w:r>
          </w:p>
        </w:tc>
      </w:tr>
    </w:tbl>
    <w:p>
      <w:pPr>
        <w:pStyle w:val="Heading2"/>
        <w:spacing w:after="100" w:before="200"/>
      </w:pPr>
      <w:r>
        <w:rPr>
          <w:rFonts w:ascii="Arial" w:cs="Arial" w:eastAsia="Arial" w:hAnsi="Arial"/>
          <w:b/>
          <w:bCs/>
          <w:i w:val="false"/>
          <w:iCs w:val="false"/>
          <w:color w:val="1565C0"/>
          <w:sz w:val="24"/>
          <w:szCs w:val="24"/>
        </w:rPr>
        <w:t xml:space="preserve">5.2 Analisis Akar Masalah (Root Cause Analysis)</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Ketika KPI tidak tercapai, jangan langsung membuat solusi tanpa memahami penyebabnya. Teknik 5 Why (Lima Mengapa) adalah cara sederhana namun efektif untuk menemukan akar masalah.</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300"/>
        <w:gridCol w:w="2500"/>
        <w:gridCol w:w="1400"/>
        <w:gridCol w:w="1489"/>
      </w:tblGrid>
      <w:tr>
        <w:trPr>
          <w:tblHeader/>
        </w:trPr>
        <w:tc>
          <w:tcPr>
            <w:tcW w:type="dxa" w:w="13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Contoh Kasus</w:t>
            </w:r>
          </w:p>
        </w:tc>
        <w:tc>
          <w:tcPr>
            <w:tcW w:type="dxa" w:w="25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Proses 5 Why</w:t>
            </w:r>
          </w:p>
        </w:tc>
        <w:tc>
          <w:tcPr>
            <w:tcW w:type="dxa" w:w="14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Akar Masalah</w:t>
            </w:r>
          </w:p>
        </w:tc>
        <w:tc>
          <w:tcPr>
            <w:tcW w:type="dxa" w:w="14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Solusi yang Tepat</w:t>
            </w:r>
          </w:p>
        </w:tc>
      </w:tr>
      <w:tr>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K4 (ASO bedah) = 10%</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&gt;= 75%)</w:t>
            </w:r>
          </w:p>
        </w:tc>
        <w:tc>
          <w:tcPr>
            <w:tcW w:type="dxa" w:w="2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Mengapa K4 rendah? → AB tidak dihentikan dalam 24 jam.</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Mengapa tidak dihentikan? → Tidak ada perintah stop.</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Mengapa tidak ada perintah stop? → Dokter tidak menulis stop order.</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Mengapa dokter tidak menulis? → Tidak ada form ASO di order pra-op.</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Mengapa tidak ada form? → Form ASO belum pernah dibuat.</w:t>
            </w:r>
          </w:p>
        </w:tc>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ada mekanisme ASO yang built-in dalam sistem order operasi</w:t>
            </w:r>
          </w:p>
        </w:tc>
        <w:tc>
          <w:tcPr>
            <w:tcW w:type="dxa" w:w="1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Buat form ASO terintegrasi dalam lembar order pra-op; sosialisasi ke dokter bedah dan anestesi</w:t>
            </w:r>
          </w:p>
        </w:tc>
      </w:tr>
      <w:tr>
        <w:tc>
          <w:tcPr>
            <w:tcW w:type="dxa" w:w="13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Gyssens Kat.0 tidak meningkat</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meski sudah 2 triwulan intervensi</w:t>
            </w:r>
          </w:p>
        </w:tc>
        <w:tc>
          <w:tcPr>
            <w:tcW w:type="dxa" w:w="25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Mengapa tidak meningkat? → Pola preskripsi DPJP tidak berubah.</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Mengapa tidak berubah? → DPJP tidak tahu hasil audit mereka sendiri.</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Mengapa tidak tahu? → Feedback tidak pernah disampaikan secara individual.</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Mengapa? → Tim PRA hanya mempresentasikan data agregat di rapat umum.</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Mengapa? → Tidak ada proses feedback individual yang sistematis.</w:t>
            </w:r>
          </w:p>
        </w:tc>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ada feedback individual ke DPJP</w:t>
            </w:r>
          </w:p>
        </w:tc>
        <w:tc>
          <w:tcPr>
            <w:tcW w:type="dxa" w:w="1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Buat "report card" individual triwulanan per DPJP; sampaikan secara konfidensial</w:t>
            </w:r>
          </w:p>
        </w:tc>
      </w:tr>
    </w:tbl>
    <w:p>
      <w:pPr>
        <w:pStyle w:val="Heading2"/>
        <w:spacing w:after="100" w:before="200"/>
      </w:pPr>
      <w:r>
        <w:rPr>
          <w:rFonts w:ascii="Arial" w:cs="Arial" w:eastAsia="Arial" w:hAnsi="Arial"/>
          <w:b/>
          <w:bCs/>
          <w:i w:val="false"/>
          <w:iCs w:val="false"/>
          <w:color w:val="1565C0"/>
          <w:sz w:val="24"/>
          <w:szCs w:val="24"/>
        </w:rPr>
        <w:t xml:space="preserve">5.3 Template CAPA</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Setiap gap KPI yang teridentifikasi dalam evaluasi triwulanan harus memiliki CAPA yang terdokumentasi dalam logbook CAPA Tim PRA.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Komponen CAPA</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Isi</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KPI yang tidak tercapai</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Contoh: K4 ASO = 10% (target 75%) — Q1 2026</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Akar masalah (hasil RCA)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ada form ASO terintegrasi dalam lembar order pra-op</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Tindakan korektif (jangka pendek)</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Buat dan distribusikan form ASO darurat; sosialisasi via WhatsApp grup dokter bedah; target: distribusi dalam 2 minggu</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Tindakan preventif (jangka panjang)</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Revisi SOP profilaksis bedah; masukkan ASO dalam orientasi dokter baru; audit K4 bulanan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PIC</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dr. [Nama], Apoteker [Nama]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penyelesaian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30 April 2026</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Status pada evaluasi berikutnya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Diisi saat evaluasi Q2: terlaksana / terlaksana sebagian / belum terlaksana</w:t>
            </w:r>
          </w:p>
        </w:tc>
      </w:tr>
    </w:tbl>
    <w:p>
      <w:pPr>
        <w:pageBreakBefore/>
        <w:spacing w:after="20" w:before="0"/>
      </w:pPr>
      <w:r>
        <w:rPr>
          <w:rFonts w:ascii="Arial" w:cs="Arial" w:eastAsia="Arial" w:hAnsi="Arial"/>
          <w:b/>
          <w:bCs/>
          <w:i w:val="false"/>
          <w:iCs w:val="false"/>
          <w:color w:val="1565C0"/>
          <w:sz w:val="20"/>
          <w:szCs w:val="20"/>
        </w:rPr>
        <w:t xml:space="preserve">BAB 6</w:t>
      </w:r>
    </w:p>
    <w:p>
      <w:pPr>
        <w:pStyle w:val="Heading1"/>
        <w:spacing w:after="100" w:before="0"/>
      </w:pPr>
      <w:r>
        <w:rPr>
          <w:rFonts w:ascii="Arial" w:cs="Arial" w:eastAsia="Arial" w:hAnsi="Arial"/>
          <w:b/>
          <w:bCs/>
          <w:i w:val="false"/>
          <w:iCs w:val="false"/>
          <w:color w:val="0B3D6B"/>
          <w:sz w:val="28"/>
          <w:szCs w:val="28"/>
        </w:rPr>
        <w:t xml:space="preserve">KOMUNIKASI DAN MANAJEMEN PERUBAHAN BUDAYA</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1565C0"/>
          <w:sz w:val="24"/>
          <w:szCs w:val="24"/>
        </w:rPr>
        <w:t xml:space="preserve">6.1 Komunikasi ke Berbagai Pemangku Kepentingan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2400"/>
        <w:gridCol w:w="3089"/>
      </w:tblGrid>
      <w:tr>
        <w:trPr>
          <w:tblHeader/>
        </w:trPr>
        <w:tc>
          <w:tcPr>
            <w:tcW w:type="dxa" w:w="12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Audiens</w:t>
            </w:r>
          </w:p>
        </w:tc>
        <w:tc>
          <w:tcPr>
            <w:tcW w:type="dxa" w:w="24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Pesan Kunci</w:t>
            </w:r>
          </w:p>
        </w:tc>
        <w:tc>
          <w:tcPr>
            <w:tcW w:type="dxa" w:w="30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Media &amp; Frekuensi</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Direktur RS</w:t>
            </w:r>
          </w:p>
        </w:tc>
        <w:tc>
          <w:tcPr>
            <w:tcW w:type="dxa" w:w="2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KPI dan tren; hambatan strategis; kebutuhan sumber daya; status kesiapan akreditasi</w:t>
            </w:r>
          </w:p>
        </w:tc>
        <w:tc>
          <w:tcPr>
            <w:tcW w:type="dxa" w:w="3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Laporan triwulanan 1-2 hal (executive summary); presentasi slide 5-10 mnt tiap triwulan</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Komite Medik</w:t>
            </w:r>
          </w:p>
        </w:tc>
        <w:tc>
          <w:tcPr>
            <w:tcW w:type="dxa" w:w="2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agregat kualitas preskripsi; tren perbaikan; kasus FORKKIT; rekomendasi PPK</w:t>
            </w:r>
          </w:p>
        </w:tc>
        <w:tc>
          <w:tcPr>
            <w:tcW w:type="dxa" w:w="3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Presentasi di rapat Komite Medik tiap triwulan; maks 10 menit</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DPJP individual</w:t>
            </w:r>
          </w:p>
        </w:tc>
        <w:tc>
          <w:tcPr>
            <w:tcW w:type="dxa" w:w="2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kinerja preskripsi individual vs benchmark RS; apresiasi jika membaik; saran perbaikan</w:t>
            </w:r>
          </w:p>
        </w:tc>
        <w:tc>
          <w:tcPr>
            <w:tcW w:type="dxa" w:w="3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Report card 1 hal; konfidensial; triwulanan; disampaikan oleh Ketua/Wakil Ketua Tim PRA</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Perawat dan Bidan</w:t>
            </w:r>
          </w:p>
        </w:tc>
        <w:tc>
          <w:tcPr>
            <w:tcW w:type="dxa" w:w="2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Peran mereka dalam stop order; pentingnya kultur sebelum AB; edukasi pasien</w:t>
            </w:r>
          </w:p>
        </w:tc>
        <w:tc>
          <w:tcPr>
            <w:tcW w:type="dxa" w:w="3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IHT 2x/tahun; briefing bangsal; pengingat visual di nursing station</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Apoteker</w:t>
            </w:r>
          </w:p>
        </w:tc>
        <w:tc>
          <w:tcPr>
            <w:tcW w:type="dxa" w:w="2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Peran prospektif reviu; IVOST; WATCH/RESERVE pre-authorization</w:t>
            </w:r>
          </w:p>
        </w:tc>
        <w:tc>
          <w:tcPr>
            <w:tcW w:type="dxa" w:w="3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Koordinasi mingguan; feedback kasus; pelatihan teknis PGA</w:t>
            </w:r>
          </w:p>
        </w:tc>
      </w:tr>
      <w:tr>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Pasien &amp; Keluarga</w:t>
            </w:r>
          </w:p>
        </w:tc>
        <w:tc>
          <w:tcPr>
            <w:tcW w:type="dxa" w:w="2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Mengapa dokter tidak selalu memberi antibiotik; cara penggunaan AB yang benar; AMR</w:t>
            </w:r>
          </w:p>
        </w:tc>
        <w:tc>
          <w:tcPr>
            <w:tcW w:type="dxa" w:w="3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Leaflet; edukasi saat konseling apoteker; video di ruang tunggu</w:t>
            </w:r>
          </w:p>
        </w:tc>
      </w:tr>
    </w:tbl>
    <w:p>
      <w:pPr>
        <w:pStyle w:val="Heading2"/>
        <w:spacing w:after="100" w:before="200"/>
      </w:pPr>
      <w:r>
        <w:rPr>
          <w:rFonts w:ascii="Arial" w:cs="Arial" w:eastAsia="Arial" w:hAnsi="Arial"/>
          <w:b/>
          <w:bCs/>
          <w:i w:val="false"/>
          <w:iCs w:val="false"/>
          <w:color w:val="1565C0"/>
          <w:sz w:val="24"/>
          <w:szCs w:val="24"/>
        </w:rPr>
        <w:t xml:space="preserve">6.2 Strategi Membangun Budaya Sadar AMR</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Perubahan budaya adalah tujuan akhir PPRA — lebih dari sekadar memenuhi KPI. Perubahan budaya berlangsung lambat namun lebih berkelanjutan dari sekadar kepatuhan regulasi.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400"/>
        <w:gridCol w:w="1800"/>
        <w:gridCol w:w="3489"/>
      </w:tblGrid>
      <w:tr>
        <w:trPr>
          <w:tblHeader/>
        </w:trPr>
        <w:tc>
          <w:tcPr>
            <w:tcW w:type="dxa" w:w="14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Tahapan Perubahan</w:t>
            </w:r>
          </w:p>
        </w:tc>
        <w:tc>
          <w:tcPr>
            <w:tcW w:type="dxa" w:w="18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Ciri-Ciri</w:t>
            </w:r>
          </w:p>
        </w:tc>
        <w:tc>
          <w:tcPr>
            <w:tcW w:type="dxa" w:w="34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Intervensi yang Tepat</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Tahap 1: Tidak sadar</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(Precontemplation)</w:t>
            </w:r>
          </w:p>
        </w:tc>
        <w:tc>
          <w:tcPr>
            <w:tcW w:type="dxa" w:w="1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DPJP tidak tahu bahwa preskripsinya bermasalah; defensif terhadap feedback</w:t>
            </w:r>
          </w:p>
        </w:tc>
        <w:tc>
          <w:tcPr>
            <w:tcW w:type="dxa" w:w="3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audit individual; framing positif ("ada kesempatan perbaikan")</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Tahap 2: Sadar tapi tidak berubah</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(Contemplation)</w:t>
            </w:r>
          </w:p>
        </w:tc>
        <w:tc>
          <w:tcPr>
            <w:tcW w:type="dxa" w:w="1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Tahu ada masalah tapi tidak prioritas; merasa "sudah cukup baik"</w:t>
            </w:r>
          </w:p>
        </w:tc>
        <w:tc>
          <w:tcPr>
            <w:tcW w:type="dxa" w:w="3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Tunjukkan dampak konkret: kasus gagal terapi akibat MDR; data outcome</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Tahap 3: Berubah</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(Action)</w:t>
            </w:r>
          </w:p>
        </w:tc>
        <w:tc>
          <w:tcPr>
            <w:tcW w:type="dxa" w:w="1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Mulai menerapkan de-eskalasi, IVOST, atau minta kultur sebelum AB</w:t>
            </w:r>
          </w:p>
        </w:tc>
        <w:tc>
          <w:tcPr>
            <w:tcW w:type="dxa" w:w="3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Dukung dan apresiasi; beri kemudahan akses (panduan, rekomendasi cepat)</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Tahap 4: Mempertahankan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(Maintenance)</w:t>
            </w:r>
          </w:p>
        </w:tc>
        <w:tc>
          <w:tcPr>
            <w:tcW w:type="dxa" w:w="18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Praktik PGA sudah menjadi kebiasaan; menjadi role model rekan sejawat</w:t>
            </w:r>
          </w:p>
        </w:tc>
        <w:tc>
          <w:tcPr>
            <w:tcW w:type="dxa" w:w="34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Libatkan sebagai champion; berikan tanggung jawab lebih dalam Tim PRA atau FORKKIT</w:t>
            </w:r>
          </w:p>
        </w:tc>
      </w:tr>
    </w:tbl>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1565C0" w:sz="1"/>
              <w:left w:val="single" w:color="1565C0" w:sz="1"/>
              <w:bottom w:val="single" w:color="1565C0" w:sz="1"/>
              <w:right w:val="single" w:color="1565C0" w:sz="1"/>
            </w:tcBorders>
            <w:shd w:fill="FFF8E1"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Program PPRA yang HANYA aktif 3 bulan sebelum survei KARS adalah BUKAN PPRA.</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Surveyor dapat mendeteksi "PPRA instan" dari notulen yang tiba-tiba muncul, data yang</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tidak konsisten, dan staf yang tidak bisa menjawab pertanyaan dasar tentang program.</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Investasi pada perubahan budaya adalah investasi tahan lama — jauh lebih berharga.</w:t>
            </w:r>
          </w:p>
        </w:tc>
      </w:tr>
    </w:tbl>
    <w:p>
      <w:pPr>
        <w:pageBreakBefore/>
        <w:spacing w:after="20" w:before="0"/>
      </w:pPr>
      <w:r>
        <w:rPr>
          <w:rFonts w:ascii="Arial" w:cs="Arial" w:eastAsia="Arial" w:hAnsi="Arial"/>
          <w:b/>
          <w:bCs/>
          <w:i w:val="false"/>
          <w:iCs w:val="false"/>
          <w:color w:val="1565C0"/>
          <w:sz w:val="20"/>
          <w:szCs w:val="20"/>
        </w:rPr>
        <w:t xml:space="preserve">BAB 7</w:t>
      </w:r>
    </w:p>
    <w:p>
      <w:pPr>
        <w:pStyle w:val="Heading1"/>
        <w:spacing w:after="100" w:before="0"/>
      </w:pPr>
      <w:r>
        <w:rPr>
          <w:rFonts w:ascii="Arial" w:cs="Arial" w:eastAsia="Arial" w:hAnsi="Arial"/>
          <w:b/>
          <w:bCs/>
          <w:i w:val="false"/>
          <w:iCs w:val="false"/>
          <w:color w:val="0B3D6B"/>
          <w:sz w:val="28"/>
          <w:szCs w:val="28"/>
        </w:rPr>
        <w:t xml:space="preserve">PENGEMBANGAN KOMPETENSI TIM PRA</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1565C0"/>
          <w:sz w:val="24"/>
          <w:szCs w:val="24"/>
        </w:rPr>
        <w:t xml:space="preserve">7.1 Matriks Kompetensi Tim PRA</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Matriks kompetensi membantu Ketua Tim PRA mengidentifikasi gap pengetahuan dan keterampilan anggota tim, lalu merencanakan pengembangan yang targeted.</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1200"/>
        <w:gridCol w:w="1200"/>
        <w:gridCol w:w="1200"/>
        <w:gridCol w:w="10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Kompetensi</w:t>
            </w:r>
          </w:p>
        </w:tc>
        <w:tc>
          <w:tcPr>
            <w:tcW w:type="dxa" w:w="12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Ketua Tim PRA</w:t>
            </w:r>
          </w:p>
        </w:tc>
        <w:tc>
          <w:tcPr>
            <w:tcW w:type="dxa" w:w="12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Apoteker Klinis</w:t>
            </w:r>
          </w:p>
        </w:tc>
        <w:tc>
          <w:tcPr>
            <w:tcW w:type="dxa" w:w="12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Perawat</w:t>
            </w:r>
          </w:p>
        </w:tc>
        <w:tc>
          <w:tcPr>
            <w:tcW w:type="dxa" w:w="10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Anggota Lab</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Prinsip PGA dan AWaRe</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Dasar</w:t>
            </w:r>
          </w:p>
        </w:tc>
        <w:tc>
          <w:tcPr>
            <w:tcW w:type="dxa" w:w="1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Dasar</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Metode audit Gyssens</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c>
          <w:tcPr>
            <w:tcW w:type="dxa" w:w="1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Perhitungan DDD/100 PD</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c>
          <w:tcPr>
            <w:tcW w:type="dxa" w:w="1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IVOST dan de-eskalasi</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Dasar</w:t>
            </w:r>
          </w:p>
        </w:tc>
        <w:tc>
          <w:tcPr>
            <w:tcW w:type="dxa" w:w="1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Pembacaan laporan kultur/antibiogram</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Terampil</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Terampil</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Dasar</w:t>
            </w:r>
          </w:p>
        </w:tc>
        <w:tc>
          <w:tcPr>
            <w:tcW w:type="dxa" w:w="1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Pengelolaan data dan Excel workbook</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Terampil</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Dasar</w:t>
            </w:r>
          </w:p>
        </w:tc>
        <w:tc>
          <w:tcPr>
            <w:tcW w:type="dxa" w:w="1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Dasar</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Presentasi dan komunikasi kepada manajemen</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Terampil</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Dasar</w:t>
            </w:r>
          </w:p>
        </w:tc>
        <w:tc>
          <w:tcPr>
            <w:tcW w:type="dxa" w:w="1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Dasar</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SIRS Online submission</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Terampil</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Terampil</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c>
          <w:tcPr>
            <w:tcW w:type="dxa" w:w="1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Manajemen FORKKIT dan notulen</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Mahir</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Terampil</w:t>
            </w:r>
          </w:p>
        </w:tc>
        <w:tc>
          <w:tcPr>
            <w:tcW w:type="dxa" w:w="1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Dasar</w:t>
            </w:r>
          </w:p>
        </w:tc>
        <w:tc>
          <w:tcPr>
            <w:tcW w:type="dxa" w:w="10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perlu</w:t>
            </w:r>
          </w:p>
        </w:tc>
      </w:tr>
    </w:tbl>
    <w:p>
      <w:pPr>
        <w:pStyle w:val="Heading2"/>
        <w:spacing w:after="100" w:before="200"/>
      </w:pPr>
      <w:r>
        <w:rPr>
          <w:rFonts w:ascii="Arial" w:cs="Arial" w:eastAsia="Arial" w:hAnsi="Arial"/>
          <w:b/>
          <w:bCs/>
          <w:i w:val="false"/>
          <w:iCs w:val="false"/>
          <w:color w:val="1565C0"/>
          <w:sz w:val="24"/>
          <w:szCs w:val="24"/>
        </w:rPr>
        <w:t xml:space="preserve">7.2 Strategi Pengembangan Kompetensi dengan Biaya Minimal</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400"/>
        <w:gridCol w:w="2200"/>
        <w:gridCol w:w="700"/>
        <w:gridCol w:w="2389"/>
      </w:tblGrid>
      <w:tr>
        <w:trPr>
          <w:tblHeader/>
        </w:trPr>
        <w:tc>
          <w:tcPr>
            <w:tcW w:type="dxa" w:w="14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Metode</w:t>
            </w:r>
          </w:p>
        </w:tc>
        <w:tc>
          <w:tcPr>
            <w:tcW w:type="dxa" w:w="22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Deskripsi</w:t>
            </w:r>
          </w:p>
        </w:tc>
        <w:tc>
          <w:tcPr>
            <w:tcW w:type="dxa" w:w="7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Biaya</w:t>
            </w:r>
          </w:p>
        </w:tc>
        <w:tc>
          <w:tcPr>
            <w:tcW w:type="dxa" w:w="23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Kelebihan</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IHT internal</w:t>
            </w:r>
          </w:p>
        </w:tc>
        <w:tc>
          <w:tcPr>
            <w:tcW w:type="dxa" w:w="2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Pelatihan tatap muka di RS; difasilitasi anggota Tim PRA atau DPJP yang kompeten</w:t>
            </w:r>
          </w:p>
        </w:tc>
        <w:tc>
          <w:tcPr>
            <w:tcW w:type="dxa" w:w="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Nyaris nol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(hanya snack/logistik)</w:t>
            </w:r>
          </w:p>
        </w:tc>
        <w:tc>
          <w:tcPr>
            <w:tcW w:type="dxa" w:w="23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Kontekstual; dapat disesuaikan dengan masalah lokal</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Case-Based Learning (CBL)</w:t>
            </w:r>
          </w:p>
        </w:tc>
        <w:tc>
          <w:tcPr>
            <w:tcW w:type="dxa" w:w="2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Diskusi kasus infeksi nyata dari bangsal; dipimpin apoteker atau dokter</w:t>
            </w:r>
          </w:p>
        </w:tc>
        <w:tc>
          <w:tcPr>
            <w:tcW w:type="dxa" w:w="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Nol</w:t>
            </w:r>
          </w:p>
        </w:tc>
        <w:tc>
          <w:tcPr>
            <w:tcW w:type="dxa" w:w="23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Pembelajaran kontekstual; langsung relevan dengan praktik</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E-learning Moodle</w:t>
            </w:r>
          </w:p>
        </w:tc>
        <w:tc>
          <w:tcPr>
            <w:tcW w:type="dxa" w:w="2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Modul online asinkron; tersedia 24/7; quiz formatif + sertifikat otomatis</w:t>
            </w:r>
          </w:p>
        </w:tc>
        <w:tc>
          <w:tcPr>
            <w:tcW w:type="dxa" w:w="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Nol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(Moodle open-source)</w:t>
            </w:r>
          </w:p>
        </w:tc>
        <w:tc>
          <w:tcPr>
            <w:tcW w:type="dxa" w:w="23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Fleksibel waktu; dapat diulang; dokumentasi otomatis</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Webinar eksternal</w:t>
            </w:r>
          </w:p>
        </w:tc>
        <w:tc>
          <w:tcPr>
            <w:tcW w:type="dxa" w:w="2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Seminar online dari Kemenkes, PERDALIN, SHEA, WHO</w:t>
            </w:r>
          </w:p>
        </w:tc>
        <w:tc>
          <w:tcPr>
            <w:tcW w:type="dxa" w:w="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Biasanya gratis</w:t>
            </w:r>
          </w:p>
        </w:tc>
        <w:tc>
          <w:tcPr>
            <w:tcW w:type="dxa" w:w="23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Perspektif nasional/global; update regulasi terkini</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Workshop eksternal</w:t>
            </w:r>
          </w:p>
        </w:tc>
        <w:tc>
          <w:tcPr>
            <w:tcW w:type="dxa" w:w="2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Pelatihan Kemenkes (ada program nasional PPRA); workshop PERDALIN</w:t>
            </w:r>
          </w:p>
        </w:tc>
        <w:tc>
          <w:tcPr>
            <w:tcW w:type="dxa" w:w="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Biaya pendaftaran + transport</w:t>
            </w:r>
          </w:p>
        </w:tc>
        <w:tc>
          <w:tcPr>
            <w:tcW w:type="dxa" w:w="23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Sertifikat resmi; networking nasional; diakui akreditasi</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Self-study + sharing session</w:t>
            </w:r>
          </w:p>
        </w:tc>
        <w:tc>
          <w:tcPr>
            <w:tcW w:type="dxa" w:w="22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Anggota tim mempelajari referensi terbaru (WHO AWaRe, IDSA) lalu mempresentasikan ke tim</w:t>
            </w:r>
          </w:p>
        </w:tc>
        <w:tc>
          <w:tcPr>
            <w:tcW w:type="dxa" w:w="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Nol</w:t>
            </w:r>
          </w:p>
        </w:tc>
        <w:tc>
          <w:tcPr>
            <w:tcW w:type="dxa" w:w="23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Meningkatkan kompetensi presentasi dan literasi ilmiah</w:t>
            </w:r>
          </w:p>
        </w:tc>
      </w:tr>
    </w:tbl>
    <w:p>
      <w:pPr>
        <w:pageBreakBefore/>
        <w:spacing w:after="20" w:before="0"/>
      </w:pPr>
      <w:r>
        <w:rPr>
          <w:rFonts w:ascii="Arial" w:cs="Arial" w:eastAsia="Arial" w:hAnsi="Arial"/>
          <w:b/>
          <w:bCs/>
          <w:i w:val="false"/>
          <w:iCs w:val="false"/>
          <w:color w:val="1565C0"/>
          <w:sz w:val="20"/>
          <w:szCs w:val="20"/>
        </w:rPr>
        <w:t xml:space="preserve">BAB 8</w:t>
      </w:r>
    </w:p>
    <w:p>
      <w:pPr>
        <w:pStyle w:val="Heading1"/>
        <w:spacing w:after="100" w:before="0"/>
      </w:pPr>
      <w:r>
        <w:rPr>
          <w:rFonts w:ascii="Arial" w:cs="Arial" w:eastAsia="Arial" w:hAnsi="Arial"/>
          <w:b/>
          <w:bCs/>
          <w:i w:val="false"/>
          <w:iCs w:val="false"/>
          <w:color w:val="0B3D6B"/>
          <w:sz w:val="28"/>
          <w:szCs w:val="28"/>
        </w:rPr>
        <w:t xml:space="preserve">SUSTAINABILITAS DAN BENCHMARKING PROGRAM PPRA</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1565C0"/>
          <w:sz w:val="24"/>
          <w:szCs w:val="24"/>
        </w:rPr>
        <w:t xml:space="preserve">8.1 Ancaman Sustainabilitas Program PPRA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400"/>
        <w:gridCol w:w="1700"/>
        <w:gridCol w:w="3589"/>
      </w:tblGrid>
      <w:tr>
        <w:trPr>
          <w:tblHeader/>
        </w:trPr>
        <w:tc>
          <w:tcPr>
            <w:tcW w:type="dxa" w:w="14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Ancaman</w:t>
            </w:r>
          </w:p>
        </w:tc>
        <w:tc>
          <w:tcPr>
            <w:tcW w:type="dxa" w:w="17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Tanda Peringatan Dini</w:t>
            </w:r>
          </w:p>
        </w:tc>
        <w:tc>
          <w:tcPr>
            <w:tcW w:type="dxa" w:w="35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Strategi Mitigasi</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Pergantian Ketua atau anggota kunci Tim PRA</w:t>
            </w:r>
          </w:p>
        </w:tc>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ada succession plan; knowledge terakumulasi di satu orang</w:t>
            </w:r>
          </w:p>
        </w:tc>
        <w:tc>
          <w:tcPr>
            <w:tcW w:type="dxa" w:w="35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Dokumentasikan semua prosedur dalam SPO; rotasi peran; transfer knowledge aktif</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Penurunan dukungan Direktur setelah survei</w:t>
            </w:r>
          </w:p>
        </w:tc>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Tim PRA tidak lagi diundang ke rapat manajemen; anggaran dipotong</w:t>
            </w:r>
          </w:p>
        </w:tc>
        <w:tc>
          <w:tcPr>
            <w:tcW w:type="dxa" w:w="35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Pertahankan laporan berkala; tunjukkan data KPI yang terus membaik; kaitkan dengan insentif RS</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Kelelahan tim (burnout)</w:t>
            </w:r>
          </w:p>
        </w:tc>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Absensi meningkat; kualitas notulen menurun; rapat tidak teratur</w:t>
            </w:r>
          </w:p>
        </w:tc>
        <w:tc>
          <w:tcPr>
            <w:tcW w:type="dxa" w:w="35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Evaluasi beban kerja; rotasi tugas; apresiasi formal</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Perubahan regulasi</w:t>
            </w:r>
          </w:p>
        </w:tc>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Panduan baru tidak terinternalisasi; dokumen tidak diperbarui</w:t>
            </w:r>
          </w:p>
        </w:tc>
        <w:tc>
          <w:tcPr>
            <w:tcW w:type="dxa" w:w="35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Langganan newsletter Kemenkes dan KARS; review dokumen tahunan minimal</w:t>
            </w:r>
          </w:p>
        </w:tc>
      </w:tr>
      <w:tr>
        <w:tc>
          <w:tcPr>
            <w:tcW w:type="dxa" w:w="14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Kehilangan momentum setelah akreditasi</w:t>
            </w:r>
          </w:p>
        </w:tc>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KPI tidak dipantau; FORKKIT berhenti setelah lulus survei</w:t>
            </w:r>
          </w:p>
        </w:tc>
        <w:tc>
          <w:tcPr>
            <w:tcW w:type="dxa" w:w="35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Integrasi KPI PPRA ke sistem mutu RS (PMKP); jadikan bagian dari evaluasi rutin RS</w:t>
            </w:r>
          </w:p>
        </w:tc>
      </w:tr>
    </w:tbl>
    <w:p>
      <w:pPr>
        <w:pStyle w:val="Heading2"/>
        <w:spacing w:after="100" w:before="200"/>
      </w:pPr>
      <w:r>
        <w:rPr>
          <w:rFonts w:ascii="Arial" w:cs="Arial" w:eastAsia="Arial" w:hAnsi="Arial"/>
          <w:b/>
          <w:bCs/>
          <w:i w:val="false"/>
          <w:iCs w:val="false"/>
          <w:color w:val="1565C0"/>
          <w:sz w:val="24"/>
          <w:szCs w:val="24"/>
        </w:rPr>
        <w:t xml:space="preserve">8.2 Integrasi PPRA dengan Program Mutu RS (PMKP)</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Cara paling efektif untuk memastikan keberlanjutan PPRA adalah mengintegrasikannya ke dalam sistem mutu dan keselamatan pasien (PMKP) RS. Bila PPRA sudah menjadi bagian dari dashboard mutu RS, ia tidak akan "mati" hanya karena survei akreditasi selesai.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Cara Integrasi</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Detail</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Masukkan KPI PPRA ke dashboard PMKP RS</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Setidaknya 2 KPI PPRA masuk ke dalam indikator mutu RS yang dilaporkan ke Direktur secara rutin. Contoh: Gyssens Kat.0 dan kepatuhan ASO sebagai indikator mutu klinis.</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Laporan PPRA dalam rapat Komite Mutu</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Tim PRA menyampaikan update KPI di rapat PMKP bulanan/triwulanan — bukan hanya menjelang survei.</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CAPA PPRA masuk ke sistem CAPA RS</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Temuan audit PPRA yang memerlukan perbaikan sistemik dilaporkan ke PMKP sebagai incident report atau observasi mutu.</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Sertakan PPRA dalam akreditasi rutin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Setelah akreditasi pertama, siapkan program kerja tahun berikutnya sebelum tahun berjalan berakhir — bukan menunggu survei berikutnya.</w:t>
            </w:r>
          </w:p>
        </w:tc>
      </w:tr>
    </w:tbl>
    <w:p>
      <w:pPr>
        <w:pStyle w:val="Heading2"/>
        <w:spacing w:after="100" w:before="200"/>
      </w:pPr>
      <w:r>
        <w:rPr>
          <w:rFonts w:ascii="Arial" w:cs="Arial" w:eastAsia="Arial" w:hAnsi="Arial"/>
          <w:b/>
          <w:bCs/>
          <w:i w:val="false"/>
          <w:iCs w:val="false"/>
          <w:color w:val="1565C0"/>
          <w:sz w:val="24"/>
          <w:szCs w:val="24"/>
        </w:rPr>
        <w:t xml:space="preserve">8.3 Benchmarking: Membandingkan Diri dengan RS Lain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700"/>
        <w:gridCol w:w="2000"/>
        <w:gridCol w:w="2989"/>
      </w:tblGrid>
      <w:tr>
        <w:trPr>
          <w:tblHeader/>
        </w:trPr>
        <w:tc>
          <w:tcPr>
            <w:tcW w:type="dxa" w:w="17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Sumber Benchmarking</w:t>
            </w:r>
          </w:p>
        </w:tc>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Cara Mengaksesnya</w:t>
            </w:r>
          </w:p>
        </w:tc>
        <w:tc>
          <w:tcPr>
            <w:tcW w:type="dxa" w:w="29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Yang Dapat Dibandingkan</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SIRS Online Kemenkes</w:t>
            </w:r>
          </w:p>
        </w:tc>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nasional agregat tersedia di dashboard SIRS Kemenkes untuk RS yang sudah submit</w:t>
            </w:r>
          </w:p>
        </w:tc>
        <w:tc>
          <w:tcPr>
            <w:tcW w:type="dxa" w:w="29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DDD/100 PD; proporsi AWaRe per kelompok RS</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Stranas AMR 2025-2029</w:t>
            </w:r>
          </w:p>
        </w:tc>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Dokumen Kemenkes (tersedia online)</w:t>
            </w:r>
          </w:p>
        </w:tc>
        <w:tc>
          <w:tcPr>
            <w:tcW w:type="dxa" w:w="29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Target nasional ACCESS &gt; 60%; perbandingan dengan target sektoral</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Forum PERDALIN / KARS</w:t>
            </w:r>
          </w:p>
        </w:tc>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Sharing session di forum nasional dan workshop akreditasi</w:t>
            </w:r>
          </w:p>
        </w:tc>
        <w:tc>
          <w:tcPr>
            <w:tcW w:type="dxa" w:w="29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Praktik terbaik RS lain; inovasi program PPRA RS sejenis</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Publikasi ilmiah Indonesia</w:t>
            </w:r>
          </w:p>
        </w:tc>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Jurnal Kedokteran Indonesia, JIMKI, dsb.</w:t>
            </w:r>
          </w:p>
        </w:tc>
        <w:tc>
          <w:tcPr>
            <w:tcW w:type="dxa" w:w="29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pola resistensi dan konsumsi AB di RS tipe serupa</w:t>
            </w:r>
          </w:p>
        </w:tc>
      </w:tr>
      <w:tr>
        <w:tc>
          <w:tcPr>
            <w:tcW w:type="dxa" w:w="17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WHO AMC Data</w:t>
            </w:r>
          </w:p>
        </w:tc>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whoccwho.int; laporan WHO GLASS</w:t>
            </w:r>
          </w:p>
        </w:tc>
        <w:tc>
          <w:tcPr>
            <w:tcW w:type="dxa" w:w="29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Benchmark global untuk pola konsumsi dan resistensi</w:t>
            </w:r>
          </w:p>
        </w:tc>
      </w:tr>
    </w:tbl>
    <w:p>
      <w:pPr>
        <w:pStyle w:val="Heading1"/>
        <w:pageBreakBefore/>
        <w:spacing w:after="140" w:before="0"/>
      </w:pPr>
      <w:r>
        <w:rPr>
          <w:rFonts w:ascii="Arial" w:cs="Arial" w:eastAsia="Arial" w:hAnsi="Arial"/>
          <w:b/>
          <w:bCs/>
          <w:i w:val="false"/>
          <w:iCs w:val="false"/>
          <w:color w:val="0B3D6B"/>
          <w:sz w:val="28"/>
          <w:szCs w:val="28"/>
        </w:rPr>
        <w:t xml:space="preserve">LAMPIRAN: TEMPLATE DAN ALAT BANTU MANAJERIAL</w:t>
      </w:r>
    </w:p>
    <w:p>
      <w:pPr>
        <w:pStyle w:val="Heading2"/>
        <w:spacing w:after="100" w:before="200"/>
      </w:pPr>
      <w:r>
        <w:rPr>
          <w:rFonts w:ascii="Arial" w:cs="Arial" w:eastAsia="Arial" w:hAnsi="Arial"/>
          <w:b/>
          <w:bCs/>
          <w:i w:val="false"/>
          <w:iCs w:val="false"/>
          <w:color w:val="1565C0"/>
          <w:sz w:val="24"/>
          <w:szCs w:val="24"/>
        </w:rPr>
        <w:t xml:space="preserve">A. Template Notulen Rapat Tim PRA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Komponen Notulen</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Isi yang Diperlukan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Kepala notulen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Nama RS; tanggal, waktu, dan tempat rapat; jenis rapat (bulanan/triwulanan/khusus)</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Peserta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Daftar nama dan jabatan yang hadir; tandatangan di lembar terpisah</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Agenda rapat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Nomor dan judul setiap agenda yang dibahas</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Isi pembahasan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 agenda: data/informasi yang disampaikan; diskusi yang terjadi; keputusan yang dicapai</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Tindak lanjut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Daftar tindakan yang disepakati: apa, siapa PIC, kapan target selesai</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Penutup</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Waktu rapat ditutup; jadwal rapat berikutnya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Pengesahan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Tanda tangan Ketua Tim PRA (dan Direktur jika rapat pelaporan ke Direktur)</w:t>
            </w:r>
          </w:p>
        </w:tc>
      </w:tr>
    </w:tbl>
    <w:p>
      <w:pPr>
        <w:pStyle w:val="Heading2"/>
        <w:spacing w:after="100" w:before="200"/>
      </w:pPr>
      <w:r>
        <w:rPr>
          <w:rFonts w:ascii="Arial" w:cs="Arial" w:eastAsia="Arial" w:hAnsi="Arial"/>
          <w:b/>
          <w:bCs/>
          <w:i w:val="false"/>
          <w:iCs w:val="false"/>
          <w:color w:val="1565C0"/>
          <w:sz w:val="24"/>
          <w:szCs w:val="24"/>
        </w:rPr>
        <w:t xml:space="preserve">B. Template Report Card Individual DPJP (1 Halaman, Konfidensial)</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Bagian</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Konten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Header</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Kepada Yth: dr. [Nama]; Periode: [Triwulan/Tahun]; KONFIDENSIAL</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kinerja individual</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Gyssens Kat.0 Anda: [X%] | Rerata RS: [Y%] | Target: &gt;= 60%</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Kepatuhan ASO bedah: [X%] | Rerata RS: [Y%] | Target: &gt;= 75%</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Catatan positif (jika ada)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Anda adalah salah satu DPJP dengan peningkatan terbesar triwulan ini. Terima kasih atas kerja samanya.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Rekomendasi spesifik</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Berdasarkan kasus yang diaudit, kami merekomendasikan: [rekomendasi konkret, misal: "review durasi ceftriaxon pada kasus ISK — rata-rata 7 hari, anjuran 5 hari"]</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Undangan dialog</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Jika Anda ingin mendiskusikan data ini lebih lanjut, Tim PRA terbuka untuk pertemuan informal kapan saja.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Tanda tangan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Ketua Tim PRA; Wakil Ketua I Tim PRA</w:t>
            </w:r>
          </w:p>
        </w:tc>
      </w:tr>
    </w:tbl>
    <w:p>
      <w:pPr>
        <w:pStyle w:val="Heading2"/>
        <w:spacing w:after="100" w:before="200"/>
      </w:pPr>
      <w:r>
        <w:rPr>
          <w:rFonts w:ascii="Arial" w:cs="Arial" w:eastAsia="Arial" w:hAnsi="Arial"/>
          <w:b/>
          <w:bCs/>
          <w:i w:val="false"/>
          <w:iCs w:val="false"/>
          <w:color w:val="1565C0"/>
          <w:sz w:val="24"/>
          <w:szCs w:val="24"/>
        </w:rPr>
        <w:t xml:space="preserve">C. Template Executive Summary Laporan Triwulanan ke Direktur (Maks 2 Halaman)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Bagian</w:t>
            </w:r>
          </w:p>
        </w:tc>
        <w:tc>
          <w:tcPr>
            <w:tcW w:type="dxa" w:w="4689"/>
            <w:tcBorders>
              <w:top w:val="single" w:color="90CAF9" w:sz="1"/>
              <w:left w:val="single" w:color="90CAF9" w:sz="1"/>
              <w:bottom w:val="single" w:color="90CAF9" w:sz="1"/>
              <w:right w:val="single" w:color="90CAF9" w:sz="1"/>
            </w:tcBorders>
            <w:shd w:fill="E3F2FD"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Konten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Capaian KPI (tabel traffic light)</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KPI | Target | Capaian Q[n] | Status (Hijau/Kuning/Merah)</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Highlight positif</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Capaian yang membaik; intervensi yang berhasil; best practice</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Masalah dan hambatan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KPI yang belum tercapai; hambatan utama; akar masalah</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CAPA yang sudah dilaksanakan</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Tindakan korektif dari laporan sebelumnya dan statusnya</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Rencana Q berikutnya</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Fokus utama; target spesifik; kegiatan unggulan</w:t>
            </w:r>
          </w:p>
        </w:tc>
      </w:tr>
      <w:tr>
        <w:tc>
          <w:tcPr>
            <w:tcW w:type="dxa" w:w="2000"/>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Dukungan yang dibutuhkan dari Direktur</w:t>
            </w:r>
          </w:p>
        </w:tc>
        <w:tc>
          <w:tcPr>
            <w:tcW w:type="dxa" w:w="4689"/>
            <w:tcBorders>
              <w:top w:val="single" w:color="90CAF9" w:sz="1"/>
              <w:left w:val="single" w:color="90CAF9" w:sz="1"/>
              <w:bottom w:val="single" w:color="90CAF9" w:sz="1"/>
              <w:right w:val="single" w:color="90CAF9"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Jika ada: eskalasi masalah SDM, anggaran, atau kebijakan</w:t>
            </w:r>
          </w:p>
        </w:tc>
      </w:tr>
    </w:tbl>
    <w:p>
      <w:pPr>
        <w:pStyle w:val="Heading1"/>
        <w:pageBreakBefore/>
        <w:spacing w:after="140" w:before="0"/>
      </w:pPr>
      <w:r>
        <w:rPr>
          <w:rFonts w:ascii="Arial" w:cs="Arial" w:eastAsia="Arial" w:hAnsi="Arial"/>
          <w:b/>
          <w:bCs/>
          <w:i w:val="false"/>
          <w:iCs w:val="false"/>
          <w:color w:val="0B3D6B"/>
          <w:sz w:val="28"/>
          <w:szCs w:val="28"/>
        </w:rPr>
        <w:t xml:space="preserve">DAFTAR PUSTAKA</w:t>
      </w:r>
    </w:p>
    <w:p>
      <w:pPr>
        <w:pBdr>
          <w:bottom w:val="single" w:color="1565C0"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  </w:t>
      </w:r>
      <w:r>
        <w:rPr>
          <w:rFonts w:ascii="Times New Roman" w:cs="Times New Roman" w:eastAsia="Times New Roman" w:hAnsi="Times New Roman"/>
          <w:b w:val="false"/>
          <w:bCs w:val="false"/>
          <w:i w:val="false"/>
          <w:iCs w:val="false"/>
          <w:color w:val="1A1A1A"/>
          <w:sz w:val="18"/>
          <w:szCs w:val="18"/>
        </w:rPr>
        <w:t xml:space="preserve">Kementerian Kesehatan Republik Indonesia. Peraturan Menteri Kesehatan Nomor 8 Tahun 2015 tentang Program Pengendalian Resistansi Antimikroba di Rumah Sakit. Jakarta: Kemenkes RI; 2015.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2.  </w:t>
      </w:r>
      <w:r>
        <w:rPr>
          <w:rFonts w:ascii="Times New Roman" w:cs="Times New Roman" w:eastAsia="Times New Roman" w:hAnsi="Times New Roman"/>
          <w:b w:val="false"/>
          <w:bCs w:val="false"/>
          <w:i w:val="false"/>
          <w:iCs w:val="false"/>
          <w:color w:val="1A1A1A"/>
          <w:sz w:val="18"/>
          <w:szCs w:val="18"/>
        </w:rPr>
        <w:t xml:space="preserve">Kementerian Kesehatan Republik Indonesia. KMK No. HK.01.07/MENKES/1596/2024 tentang Standar Akreditasi Rumah Sakit (STARKES 2024). Jakarta: Kemenkes RI; 2024.</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3.  </w:t>
      </w:r>
      <w:r>
        <w:rPr>
          <w:rFonts w:ascii="Times New Roman" w:cs="Times New Roman" w:eastAsia="Times New Roman" w:hAnsi="Times New Roman"/>
          <w:b w:val="false"/>
          <w:bCs w:val="false"/>
          <w:i w:val="false"/>
          <w:iCs w:val="false"/>
          <w:color w:val="1A1A1A"/>
          <w:sz w:val="18"/>
          <w:szCs w:val="18"/>
        </w:rPr>
        <w:t xml:space="preserve">Kementerian Kesehatan Republik Indonesia. Panduan Penatagunaan Antimikroba (PGA) di Rumah Sakit, Edisi I. Jakarta: Kemenkes RI; 2021.</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4.  </w:t>
      </w:r>
      <w:r>
        <w:rPr>
          <w:rFonts w:ascii="Times New Roman" w:cs="Times New Roman" w:eastAsia="Times New Roman" w:hAnsi="Times New Roman"/>
          <w:b w:val="false"/>
          <w:bCs w:val="false"/>
          <w:i w:val="false"/>
          <w:iCs w:val="false"/>
          <w:color w:val="1A1A1A"/>
          <w:sz w:val="18"/>
          <w:szCs w:val="18"/>
        </w:rPr>
        <w:t xml:space="preserve">Kementerian Kesehatan Republik Indonesia. Strategi Nasional Pengendalian Resistensi Antimikroba 2025-2029. Jakarta: Kemenkes RI; 2025.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5.  </w:t>
      </w:r>
      <w:r>
        <w:rPr>
          <w:rFonts w:ascii="Times New Roman" w:cs="Times New Roman" w:eastAsia="Times New Roman" w:hAnsi="Times New Roman"/>
          <w:b w:val="false"/>
          <w:bCs w:val="false"/>
          <w:i w:val="false"/>
          <w:iCs w:val="false"/>
          <w:color w:val="1A1A1A"/>
          <w:sz w:val="18"/>
          <w:szCs w:val="18"/>
        </w:rPr>
        <w:t xml:space="preserve">World Health Organization. AWaRe (Access, Watch, Reserve) Antibiotic Book 2023. Geneva: WHO; 2023.</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6.  </w:t>
      </w:r>
      <w:r>
        <w:rPr>
          <w:rFonts w:ascii="Times New Roman" w:cs="Times New Roman" w:eastAsia="Times New Roman" w:hAnsi="Times New Roman"/>
          <w:b w:val="false"/>
          <w:bCs w:val="false"/>
          <w:i w:val="false"/>
          <w:iCs w:val="false"/>
          <w:color w:val="1A1A1A"/>
          <w:sz w:val="18"/>
          <w:szCs w:val="18"/>
        </w:rPr>
        <w:t xml:space="preserve">Barlam TF, Cosgrove SE, Abbo LM, et al. Implementing an Antibiotic Stewardship Program: Guidelines by the Infectious Diseases Society of America and the Society for Healthcare Epidemiology of America. Clin Infect Dis. 2016;62(10):e51-e77.</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7.  </w:t>
      </w:r>
      <w:r>
        <w:rPr>
          <w:rFonts w:ascii="Times New Roman" w:cs="Times New Roman" w:eastAsia="Times New Roman" w:hAnsi="Times New Roman"/>
          <w:b w:val="false"/>
          <w:bCs w:val="false"/>
          <w:i w:val="false"/>
          <w:iCs w:val="false"/>
          <w:color w:val="1A1A1A"/>
          <w:sz w:val="18"/>
          <w:szCs w:val="18"/>
        </w:rPr>
        <w:t xml:space="preserve">Davey P, Marwick CA, Scott CL, et al. Interventions to improve antibiotic prescribing practices for hospital inpatients. Cochrane Database Syst Rev. 2017;(2):CD003543.</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8.  </w:t>
      </w:r>
      <w:r>
        <w:rPr>
          <w:rFonts w:ascii="Times New Roman" w:cs="Times New Roman" w:eastAsia="Times New Roman" w:hAnsi="Times New Roman"/>
          <w:b w:val="false"/>
          <w:bCs w:val="false"/>
          <w:i w:val="false"/>
          <w:iCs w:val="false"/>
          <w:color w:val="1A1A1A"/>
          <w:sz w:val="18"/>
          <w:szCs w:val="18"/>
        </w:rPr>
        <w:t xml:space="preserve">Baur D, Gladstone BP, Burkert F, et al. Effect of antibiotic stewardship on the incidence of infection and colonisation with antibiotic-resistant bacteria and Clostridium difficile infection. Lancet Infect Dis. 2017;17(9):990-1001.</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9.  </w:t>
      </w:r>
      <w:r>
        <w:rPr>
          <w:rFonts w:ascii="Times New Roman" w:cs="Times New Roman" w:eastAsia="Times New Roman" w:hAnsi="Times New Roman"/>
          <w:b w:val="false"/>
          <w:bCs w:val="false"/>
          <w:i w:val="false"/>
          <w:iCs w:val="false"/>
          <w:color w:val="1A1A1A"/>
          <w:sz w:val="18"/>
          <w:szCs w:val="18"/>
        </w:rPr>
        <w:t xml:space="preserve">Newland JG, Banerjee R, Gerber JS, et al. Antimicrobial Stewardship in Pediatric Care: Strategies and Future Directions. Pharmacotherapy. 2012;32(8):735-743.</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10.  </w:t>
      </w:r>
      <w:r>
        <w:rPr>
          <w:rFonts w:ascii="Times New Roman" w:cs="Times New Roman" w:eastAsia="Times New Roman" w:hAnsi="Times New Roman"/>
          <w:b w:val="false"/>
          <w:bCs w:val="false"/>
          <w:i w:val="false"/>
          <w:iCs w:val="false"/>
          <w:color w:val="1A1A1A"/>
          <w:sz w:val="18"/>
          <w:szCs w:val="18"/>
        </w:rPr>
        <w:t xml:space="preserve">Tamma PD, Avdic E, Li DX, et al. Association of Adverse Events With Antibiotic Use in Hospitalized Patients. JAMA Intern Med. 2017;177(9):1308-1315.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11.  </w:t>
      </w:r>
      <w:r>
        <w:rPr>
          <w:rFonts w:ascii="Times New Roman" w:cs="Times New Roman" w:eastAsia="Times New Roman" w:hAnsi="Times New Roman"/>
          <w:b w:val="false"/>
          <w:bCs w:val="false"/>
          <w:i w:val="false"/>
          <w:iCs w:val="false"/>
          <w:color w:val="1A1A1A"/>
          <w:sz w:val="18"/>
          <w:szCs w:val="18"/>
        </w:rPr>
        <w:t xml:space="preserve">Gerber JS, Hersh AL, Kronman MP, et al. The Impact of Antibiotic Stewardship in the Emergency Department. Infect Control Hosp Epidemiol. 2017;38(12):1499-1500.</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12.  </w:t>
      </w:r>
      <w:r>
        <w:rPr>
          <w:rFonts w:ascii="Times New Roman" w:cs="Times New Roman" w:eastAsia="Times New Roman" w:hAnsi="Times New Roman"/>
          <w:b w:val="false"/>
          <w:bCs w:val="false"/>
          <w:i w:val="false"/>
          <w:iCs w:val="false"/>
          <w:color w:val="1A1A1A"/>
          <w:sz w:val="18"/>
          <w:szCs w:val="18"/>
        </w:rPr>
        <w:t xml:space="preserve">Dyar OJ, Huttner B, Schouten J, Pulcini C; ESGAP (ESCMID Study Group for Antibiotic Policies). What is antimicrobial stewardship? Clin Microbiol Infect. 2017;23(11):793-798.</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13.  </w:t>
      </w:r>
      <w:r>
        <w:rPr>
          <w:rFonts w:ascii="Times New Roman" w:cs="Times New Roman" w:eastAsia="Times New Roman" w:hAnsi="Times New Roman"/>
          <w:b w:val="false"/>
          <w:bCs w:val="false"/>
          <w:i w:val="false"/>
          <w:iCs w:val="false"/>
          <w:color w:val="1A1A1A"/>
          <w:sz w:val="18"/>
          <w:szCs w:val="18"/>
        </w:rPr>
        <w:t xml:space="preserve">Murray CJ, Ikuta KS, Sharara F, et al. Global burden of bacterial antimicrobial resistance in 2019: a systematic analysis. Lancet. 2022;399(10325):629-655.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14.  </w:t>
      </w:r>
      <w:r>
        <w:rPr>
          <w:rFonts w:ascii="Times New Roman" w:cs="Times New Roman" w:eastAsia="Times New Roman" w:hAnsi="Times New Roman"/>
          <w:b w:val="false"/>
          <w:bCs w:val="false"/>
          <w:i w:val="false"/>
          <w:iCs w:val="false"/>
          <w:color w:val="1A1A1A"/>
          <w:sz w:val="18"/>
          <w:szCs w:val="18"/>
        </w:rPr>
        <w:t xml:space="preserve">World Health Organization. Global Action Plan on Antimicrobial Resistance. Geneva: WHO; 2015.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15.  </w:t>
      </w:r>
      <w:r>
        <w:rPr>
          <w:rFonts w:ascii="Times New Roman" w:cs="Times New Roman" w:eastAsia="Times New Roman" w:hAnsi="Times New Roman"/>
          <w:b w:val="false"/>
          <w:bCs w:val="false"/>
          <w:i w:val="false"/>
          <w:iCs w:val="false"/>
          <w:color w:val="1A1A1A"/>
          <w:sz w:val="18"/>
          <w:szCs w:val="18"/>
        </w:rPr>
        <w:t xml:space="preserve">Cosgrove SE, Hermsen ED, Rybak MJ, et al. Guidance for the Knowledge and Skills Required for Antimicrobial Stewardship Leaders. Infect Control Hosp Epidemiol. 2014;35(12):1444-1451.</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16.  </w:t>
      </w:r>
      <w:r>
        <w:rPr>
          <w:rFonts w:ascii="Times New Roman" w:cs="Times New Roman" w:eastAsia="Times New Roman" w:hAnsi="Times New Roman"/>
          <w:b w:val="false"/>
          <w:bCs w:val="false"/>
          <w:i w:val="false"/>
          <w:iCs w:val="false"/>
          <w:color w:val="1A1A1A"/>
          <w:sz w:val="18"/>
          <w:szCs w:val="18"/>
        </w:rPr>
        <w:t xml:space="preserve">Dik JH, Vemer P, Friedrich AW, et al. Financial evaluations of antibiotic stewardship programs—a systematic review. Front Microbiol. 2015;6:317.</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17.  </w:t>
      </w:r>
      <w:r>
        <w:rPr>
          <w:rFonts w:ascii="Times New Roman" w:cs="Times New Roman" w:eastAsia="Times New Roman" w:hAnsi="Times New Roman"/>
          <w:b w:val="false"/>
          <w:bCs w:val="false"/>
          <w:i w:val="false"/>
          <w:iCs w:val="false"/>
          <w:color w:val="1A1A1A"/>
          <w:sz w:val="18"/>
          <w:szCs w:val="18"/>
        </w:rPr>
        <w:t xml:space="preserve">Lesprit P, de Pontfarcy A, Esposito-Farese M, et al. Postprescription Review Improves In-Hospital Antibiotic Use: A Multicenter Randomized Controlled Trial. J Antimicrob Chemother. 2015;70(7):2216-2222.</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18.  </w:t>
      </w:r>
      <w:r>
        <w:rPr>
          <w:rFonts w:ascii="Times New Roman" w:cs="Times New Roman" w:eastAsia="Times New Roman" w:hAnsi="Times New Roman"/>
          <w:b w:val="false"/>
          <w:bCs w:val="false"/>
          <w:i w:val="false"/>
          <w:iCs w:val="false"/>
          <w:color w:val="1A1A1A"/>
          <w:sz w:val="18"/>
          <w:szCs w:val="18"/>
        </w:rPr>
        <w:t xml:space="preserve">PERDALIN. Pedoman Program Pencegahan dan Pengendalian Infeksi (PPI) di Rumah Sakit. Jakarta: PERDALIN; 2019.</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19.  </w:t>
      </w:r>
      <w:r>
        <w:rPr>
          <w:rFonts w:ascii="Times New Roman" w:cs="Times New Roman" w:eastAsia="Times New Roman" w:hAnsi="Times New Roman"/>
          <w:b w:val="false"/>
          <w:bCs w:val="false"/>
          <w:i w:val="false"/>
          <w:iCs w:val="false"/>
          <w:color w:val="1A1A1A"/>
          <w:sz w:val="18"/>
          <w:szCs w:val="18"/>
        </w:rPr>
        <w:t xml:space="preserve">Institute for Healthcare Improvement (IHI). Science of Improvement: How to Improve. Cambridge, MA: IHI; 2020. Available at: ihi.org</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20.  </w:t>
      </w:r>
      <w:r>
        <w:rPr>
          <w:rFonts w:ascii="Times New Roman" w:cs="Times New Roman" w:eastAsia="Times New Roman" w:hAnsi="Times New Roman"/>
          <w:b w:val="false"/>
          <w:bCs w:val="false"/>
          <w:i w:val="false"/>
          <w:iCs w:val="false"/>
          <w:color w:val="1A1A1A"/>
          <w:sz w:val="18"/>
          <w:szCs w:val="18"/>
        </w:rPr>
        <w:t xml:space="preserve">Prochaska JO, Velicer WF. The Transtheoretical Model of Health Behavior Change. Am J Health Promot. 1997;12(1):38-48. [Stages of change model applied to PPRA behavioral change]</w:t>
      </w:r>
    </w:p>
    <w:sectPr>
      <w:headerReference w:type="default" r:id="rId7"/>
      <w:headerReference w:type="first" r:id="rId8"/>
      <w:footerReference w:type="default" r:id="rId9"/>
      <w:footerReference w:type="first" r:id="rId10"/>
      <w:pgSz w:w="8391" w:h="11906" w:orient="portrait"/>
      <w:pgMar w:top="851" w:right="851" w:bottom="851" w:left="851" w:header="708" w:footer="708" w:gutter="0"/>
      <w:pgNumType/>
      <w:titlePg/>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565C0" w:sz="4" w:space="1"/>
      </w:pBdr>
      <w:spacing w:after="0" w:before="80"/>
      <w:jc w:val="center"/>
    </w:pPr>
    <w:r>
      <w:rPr>
        <w:rFonts w:ascii="Times New Roman" w:cs="Times New Roman" w:eastAsia="Times New Roman" w:hAnsi="Times New Roman"/>
        <w:b w:val="false"/>
        <w:bCs w:val="false"/>
        <w:i w:val="false"/>
        <w:iCs w:val="false"/>
        <w:color w:val="1565C0"/>
        <w:sz w:val="14"/>
        <w:szCs w:val="14"/>
      </w:rPr>
      <w:t xml:space="preserve">Edisi 1, 2026  |  Sesuaikan dengan konteks institusi Anda  |  saweria.co/haridiva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r>
      <w:rPr>
        <w:rFonts w:ascii="Times New Roman" w:cs="Times New Roman" w:eastAsia="Times New Roman" w:hAnsi="Times New Roman"/>
        <w:b w:val="false"/>
        <w:bCs w:val="false"/>
        <w:i w:val="false"/>
        <w:iCs w:val="false"/>
        <w:color w:val="1A1A1A"/>
        <w:sz w:val="20"/>
        <w:szCs w:val="20"/>
      </w:rPr>
      <w:t xml:space="preserv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565C0" w:sz="4" w:space="1"/>
      </w:pBdr>
      <w:spacing w:after="80" w:before="0"/>
      <w:jc w:val="center"/>
    </w:pPr>
    <w:r>
      <w:rPr>
        <w:rFonts w:ascii="Times New Roman" w:cs="Times New Roman" w:eastAsia="Times New Roman" w:hAnsi="Times New Roman"/>
        <w:b w:val="false"/>
        <w:bCs w:val="false"/>
        <w:i/>
        <w:iCs/>
        <w:color w:val="1565C0"/>
        <w:sz w:val="14"/>
        <w:szCs w:val="14"/>
      </w:rPr>
      <w:t xml:space="preserve">Buku Saku Manajerial PPRA  |  dr. Putu Cahya Legawa</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r>
      <w:rPr>
        <w:rFonts w:ascii="Times New Roman" w:cs="Times New Roman" w:eastAsia="Times New Roman" w:hAnsi="Times New Roman"/>
        <w:b w:val="false"/>
        <w:bCs w:val="false"/>
        <w:i w:val="false"/>
        <w:iCs w:val="false"/>
        <w:color w:val="1A1A1A"/>
        <w:sz w:val="20"/>
        <w:szCs w:val="20"/>
      </w:rPr>
      <w:t xml:space="preserv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80" w:hanging="240"/>
      </w:pPr>
    </w:lvl>
  </w:abstractNum>
  <w:abstractNum w:abstractNumId="3" w15:restartNumberingAfterBreak="0">
    <w:multiLevelType w:val="hybridMultilevel"/>
    <w:lvl w:ilvl="0" w15:tentative="1">
      <w:start w:val="1"/>
      <w:numFmt w:val="decimal"/>
      <w:lvlText w:val="%1."/>
      <w:lvlJc w:val="left"/>
      <w:pPr>
        <w:ind w:left="480" w:hanging="24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color w:val="1A1A1A"/>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pPr>
      <w:spacing w:after="140" w:before="0"/>
      <w:outlineLvl w:val="0"/>
    </w:pPr>
    <w:rPr>
      <w:rFonts w:ascii="Arial" w:cs="Arial" w:eastAsia="Arial" w:hAnsi="Arial"/>
      <w:b/>
      <w:bCs/>
      <w:color w:val="0B3D6B"/>
      <w:sz w:val="28"/>
      <w:szCs w:val="28"/>
    </w:rPr>
  </w:style>
  <w:style w:type="paragraph" w:styleId="Heading2">
    <w:name w:val="Heading 2"/>
    <w:basedOn w:val="Normal"/>
    <w:next w:val="Normal"/>
    <w:pPr>
      <w:spacing w:after="100" w:before="200"/>
      <w:outlineLvl w:val="1"/>
    </w:pPr>
    <w:rPr>
      <w:rFonts w:ascii="Arial" w:cs="Arial" w:eastAsia="Arial" w:hAnsi="Arial"/>
      <w:b/>
      <w:bCs/>
      <w:color w:val="1565C0"/>
      <w:sz w:val="24"/>
      <w:szCs w:val="24"/>
    </w:rPr>
  </w:style>
  <w:style w:type="paragraph" w:styleId="Heading3">
    <w:name w:val="Heading 3"/>
    <w:basedOn w:val="Normal"/>
    <w:next w:val="Normal"/>
    <w:pPr>
      <w:spacing w:after="80" w:before="160"/>
      <w:outlineLvl w:val="2"/>
    </w:pPr>
    <w:rPr>
      <w:rFonts w:ascii="Arial" w:cs="Arial" w:eastAsia="Arial" w:hAnsi="Arial"/>
      <w:b/>
      <w:bCs/>
      <w:color w:val="0B3D6B"/>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er2.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word/_rels/header2.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2026-06-12T00:07:35.840Z</dcterms:created>
  <dcterms:modified xsi:type="dcterms:W3CDTF">2026-06-12T00:07:35.853Z</dcterms:modified>
</cp:coreProperties>
</file>

<file path=docProps/custom.xml><?xml version="1.0" encoding="utf-8"?>
<Properties xmlns="http://schemas.openxmlformats.org/officeDocument/2006/custom-properties" xmlns:vt="http://schemas.openxmlformats.org/officeDocument/2006/docPropsVTypes"/>
</file>