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footer+xml" PartName="/word/footer1.xml"/>
  <Override ContentType="application/vnd.openxmlformats-officedocument.wordprocessingml.footer+xml" PartName="/word/footer2.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60" w:before="0"/>
      </w:pPr>
      <w:r>
        <w:rPr>
          <w:rFonts w:ascii="Times New Roman" w:cs="Times New Roman" w:eastAsia="Times New Roman" w:hAnsi="Times New Roman"/>
          <w:b w:val="false"/>
          <w:bCs w:val="false"/>
          <w:i w:val="false"/>
          <w:iCs w:val="false"/>
          <w:color w:val="1A1A1A"/>
          <w:sz w:val="20"/>
          <w:szCs w:val="20"/>
        </w:rPr>
        <w:t xml:space="preserve"/>
      </w:r>
    </w:p>
    <w:p>
      <w:pPr>
        <w:spacing w:after="40" w:before="0"/>
        <w:jc w:val="center"/>
      </w:pPr>
      <w:r>
        <w:rPr>
          <w:rFonts w:ascii="Arial" w:cs="Arial" w:eastAsia="Arial" w:hAnsi="Arial"/>
          <w:b/>
          <w:bCs/>
          <w:i w:val="false"/>
          <w:iCs w:val="false"/>
          <w:color w:val="7D3C98"/>
          <w:sz w:val="20"/>
          <w:szCs w:val="20"/>
        </w:rPr>
        <w:t xml:space="preserve">SERI BUKU SAKU PPRA INDONESIA</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20" w:before="0"/>
        <w:jc w:val="center"/>
      </w:pPr>
      <w:r>
        <w:rPr>
          <w:rFonts w:ascii="Arial" w:cs="Arial" w:eastAsia="Arial" w:hAnsi="Arial"/>
          <w:b/>
          <w:bCs/>
          <w:i w:val="false"/>
          <w:iCs w:val="false"/>
          <w:color w:val="4A235A"/>
          <w:sz w:val="36"/>
          <w:szCs w:val="36"/>
        </w:rPr>
        <w:t xml:space="preserve">BUKU SAKU</w:t>
      </w:r>
    </w:p>
    <w:p>
      <w:pPr>
        <w:spacing w:after="20" w:before="0"/>
        <w:jc w:val="center"/>
      </w:pPr>
      <w:r>
        <w:rPr>
          <w:rFonts w:ascii="Arial" w:cs="Arial" w:eastAsia="Arial" w:hAnsi="Arial"/>
          <w:b/>
          <w:bCs/>
          <w:i w:val="false"/>
          <w:iCs w:val="false"/>
          <w:color w:val="4A235A"/>
          <w:sz w:val="36"/>
          <w:szCs w:val="36"/>
        </w:rPr>
        <w:t xml:space="preserve">PENATAGUNAAN ANTIMIKROBA</w:t>
      </w:r>
    </w:p>
    <w:p>
      <w:pPr>
        <w:spacing w:after="40" w:before="0"/>
        <w:jc w:val="center"/>
      </w:pPr>
      <w:r>
        <w:rPr>
          <w:rFonts w:ascii="Arial" w:cs="Arial" w:eastAsia="Arial" w:hAnsi="Arial"/>
          <w:b/>
          <w:bCs/>
          <w:i w:val="false"/>
          <w:iCs w:val="false"/>
          <w:color w:val="7D3C98"/>
          <w:sz w:val="42"/>
          <w:szCs w:val="42"/>
        </w:rPr>
        <w:t xml:space="preserve">UNTUK DOKTER</w:t>
      </w:r>
    </w:p>
    <w:p>
      <w:pPr>
        <w:pBdr>
          <w:bottom w:val="single" w:color="7D3C98"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60" w:before="60"/>
        <w:jc w:val="center"/>
      </w:pPr>
      <w:r>
        <w:rPr>
          <w:rFonts w:ascii="Times New Roman" w:cs="Times New Roman" w:eastAsia="Times New Roman" w:hAnsi="Times New Roman"/>
          <w:b w:val="false"/>
          <w:bCs w:val="false"/>
          <w:i/>
          <w:iCs/>
          <w:color w:val="7D3C98"/>
          <w:sz w:val="20"/>
          <w:szCs w:val="20"/>
        </w:rPr>
        <w:t xml:space="preserve">Panduan Pengambilan Keputusan Klinis dalam Antimicrobial Stewardship</w:t>
      </w:r>
    </w:p>
    <w:p>
      <w:pPr>
        <w:spacing w:after="320" w:before="0"/>
      </w:pPr>
      <w:r>
        <w:rPr>
          <w:rFonts w:ascii="Times New Roman" w:cs="Times New Roman" w:eastAsia="Times New Roman" w:hAnsi="Times New Roman"/>
          <w:b w:val="false"/>
          <w:bCs w:val="false"/>
          <w:i w:val="false"/>
          <w:iCs w:val="false"/>
          <w:color w:val="1A1A1A"/>
          <w:sz w:val="20"/>
          <w:szCs w:val="20"/>
        </w:rPr>
        <w:t xml:space="preserve"/>
      </w:r>
    </w:p>
    <w:p>
      <w:pPr>
        <w:spacing w:after="20" w:before="40"/>
        <w:jc w:val="center"/>
      </w:pPr>
      <w:r>
        <w:rPr>
          <w:rFonts w:ascii="Arial" w:cs="Arial" w:eastAsia="Arial" w:hAnsi="Arial"/>
          <w:b/>
          <w:bCs/>
          <w:i w:val="false"/>
          <w:iCs w:val="false"/>
          <w:color w:val="4A235A"/>
          <w:sz w:val="28"/>
          <w:szCs w:val="28"/>
        </w:rPr>
        <w:t xml:space="preserve">dr. Putu Cahya Legawa</w:t>
      </w:r>
    </w:p>
    <w:p>
      <w:pPr>
        <w:spacing w:after="20" w:before="0"/>
        <w:jc w:val="center"/>
      </w:pPr>
      <w:r>
        <w:rPr>
          <w:rFonts w:ascii="Times New Roman" w:cs="Times New Roman" w:eastAsia="Times New Roman" w:hAnsi="Times New Roman"/>
          <w:b w:val="false"/>
          <w:bCs w:val="false"/>
          <w:i/>
          <w:iCs/>
          <w:color w:val="7D3C98"/>
          <w:sz w:val="20"/>
          <w:szCs w:val="20"/>
        </w:rPr>
        <w:t xml:space="preserve">Dokter Umum | Praktisi PPRA</w:t>
      </w:r>
    </w:p>
    <w:p>
      <w:pPr>
        <w:spacing w:after="320" w:before="0"/>
      </w:pPr>
      <w:r>
        <w:rPr>
          <w:rFonts w:ascii="Times New Roman" w:cs="Times New Roman" w:eastAsia="Times New Roman" w:hAnsi="Times New Roman"/>
          <w:b w:val="false"/>
          <w:bCs w:val="false"/>
          <w:i w:val="false"/>
          <w:iCs w:val="false"/>
          <w:color w:val="1A1A1A"/>
          <w:sz w:val="20"/>
          <w:szCs w:val="20"/>
        </w:rPr>
        <w:t xml:space="preserve"/>
      </w:r>
    </w:p>
    <w:p>
      <w:pPr>
        <w:pBdr>
          <w:bottom w:val="single" w:color="7D3C98"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20" w:before="60"/>
        <w:jc w:val="center"/>
      </w:pPr>
      <w:r>
        <w:rPr>
          <w:rFonts w:ascii="Times New Roman" w:cs="Times New Roman" w:eastAsia="Times New Roman" w:hAnsi="Times New Roman"/>
          <w:b w:val="false"/>
          <w:bCs w:val="false"/>
          <w:i w:val="false"/>
          <w:iCs w:val="false"/>
          <w:color w:val="1A1A1A"/>
          <w:sz w:val="20"/>
          <w:szCs w:val="20"/>
        </w:rPr>
        <w:t xml:space="preserve">Edisi 1 — 2026</w:t>
      </w:r>
    </w:p>
    <w:p>
      <w:pPr>
        <w:spacing w:after="0" w:before="0"/>
        <w:jc w:val="center"/>
      </w:pPr>
      <w:r>
        <w:rPr>
          <w:rFonts w:ascii="Times New Roman" w:cs="Times New Roman" w:eastAsia="Times New Roman" w:hAnsi="Times New Roman"/>
          <w:b w:val="false"/>
          <w:bCs w:val="false"/>
          <w:i w:val="false"/>
          <w:iCs w:val="false"/>
          <w:color w:val="7D3C98"/>
          <w:sz w:val="20"/>
          <w:szCs w:val="20"/>
        </w:rPr>
        <w:t xml:space="preserve">legawa.com</w:t>
      </w:r>
    </w:p>
    <w:p>
      <w:r>
        <w:br w:type="page"/>
      </w:r>
    </w:p>
    <w:p>
      <w:pPr>
        <w:spacing w:after="80" w:before="80"/>
        <w:jc w:val="center"/>
      </w:pPr>
      <w:r>
        <w:rPr>
          <w:rFonts w:ascii="Arial" w:cs="Arial" w:eastAsia="Arial" w:hAnsi="Arial"/>
          <w:b/>
          <w:bCs/>
          <w:i w:val="false"/>
          <w:iCs w:val="false"/>
          <w:color w:val="4A235A"/>
          <w:sz w:val="22"/>
          <w:szCs w:val="22"/>
        </w:rPr>
        <w:t xml:space="preserve">PERNYATAAN DAN KETENTUAN PENGGUNAAN</w:t>
      </w:r>
    </w:p>
    <w:p>
      <w:pPr>
        <w:pBdr>
          <w:bottom w:val="single" w:color="7D3C98"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7D3C98" w:sz="1"/>
              <w:left w:val="single" w:color="7D3C98" w:sz="1"/>
              <w:bottom w:val="single" w:color="7D3C98" w:sz="1"/>
              <w:right w:val="single" w:color="7D3C98" w:sz="1"/>
            </w:tcBorders>
            <w:shd w:fill="FFF8E1"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bCs/>
                <w:i w:val="false"/>
                <w:iCs w:val="false"/>
                <w:color w:val="1A1A1A"/>
                <w:sz w:val="18"/>
                <w:szCs w:val="18"/>
              </w:rPr>
              <w:t xml:space="preserve">PENTING — BACA SEBELUM MENGGUNAKAN</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Buku saku ini disediakan sebagaimana adanya ("as is") sebagai alat bantu edukasi</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klinis. Rekomendasi disusun berdasarkan WHO AWaRe Antibiotic Book 2023, Panduan</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PGA Kemenkes RI 2021, Permenkes 28/2021, dan pedoman internasional (IDSA, SHEA)</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yang berlaku pada saat penyusunan di tahun 2026.</w:t>
            </w:r>
          </w:p>
        </w:tc>
      </w:tr>
    </w:tbl>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Pengguna dianjurkan memverifikasi informasi ke sumber primer yang tercantum dalam Daftar Pustaka. Ilmu pengetahuan medis dan pola resistensi antimikroba bersifat dinamis dan dapat berubah. Buku ini bukan pengganti penilaian klinis individual, panduan institusi setempat, atau konsultasi spesialis.</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Penulis tidak bertanggung jawab atas keputusan klinis yang diambil semata-mata berdasarkan informasi dalam buku ini tanpa verifikasi kontekstual yang memadai.</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pBdr>
          <w:bottom w:val="single" w:color="7D3C98"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center"/>
      </w:pPr>
      <w:r>
        <w:rPr>
          <w:rFonts w:ascii="Times New Roman" w:cs="Times New Roman" w:eastAsia="Times New Roman" w:hAnsi="Times New Roman"/>
          <w:b w:val="false"/>
          <w:bCs w:val="false"/>
          <w:i w:val="false"/>
          <w:iCs w:val="false"/>
          <w:color w:val="1A1A1A"/>
          <w:sz w:val="20"/>
          <w:szCs w:val="20"/>
        </w:rPr>
        <w:t xml:space="preserve">Hak Cipta © 2026 dr. Putu Cahya Legawa. Seluruh hak cipta dilindungi undang-undang.</w:t>
      </w:r>
    </w:p>
    <w:p>
      <w:pPr>
        <w:spacing w:after="80" w:before="40" w:line="260"/>
        <w:jc w:val="center"/>
      </w:pPr>
      <w:r>
        <w:rPr>
          <w:rFonts w:ascii="Times New Roman" w:cs="Times New Roman" w:eastAsia="Times New Roman" w:hAnsi="Times New Roman"/>
          <w:b w:val="false"/>
          <w:bCs w:val="false"/>
          <w:i/>
          <w:iCs/>
          <w:color w:val="1A1A1A"/>
          <w:sz w:val="20"/>
          <w:szCs w:val="20"/>
        </w:rPr>
        <w:t xml:space="preserve">Bebas disalin untuk keperluan pendidikan dan non-komersial dengan menyebut sumber.</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7D3C98" w:sz="1"/>
              <w:left w:val="single" w:color="7D3C98" w:sz="1"/>
              <w:bottom w:val="single" w:color="7D3C98" w:sz="1"/>
              <w:right w:val="single" w:color="7D3C98" w:sz="1"/>
            </w:tcBorders>
            <w:shd w:fill="E8F5E9"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DUKUNG PENULIS</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Jika buku saku ini bermanfaat, pertimbangkan dukungan sukarela kepada penulis:</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saweria.co/haridiva          |          legawa.com</w:t>
            </w:r>
          </w:p>
        </w:tc>
      </w:tr>
    </w:tbl>
    <w:p>
      <w:pPr>
        <w:pStyle w:val="Heading1"/>
        <w:pageBreakBefore/>
        <w:spacing w:after="140" w:before="0"/>
      </w:pPr>
      <w:r>
        <w:rPr>
          <w:rFonts w:ascii="Arial" w:cs="Arial" w:eastAsia="Arial" w:hAnsi="Arial"/>
          <w:b/>
          <w:bCs/>
          <w:i w:val="false"/>
          <w:iCs w:val="false"/>
          <w:color w:val="4A235A"/>
          <w:sz w:val="28"/>
          <w:szCs w:val="28"/>
        </w:rPr>
        <w:t xml:space="preserve">KATA PENGANTAR</w:t>
      </w:r>
    </w:p>
    <w:p>
      <w:pPr>
        <w:pBdr>
          <w:bottom w:val="single" w:color="7D3C98"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Dokter adalah tokoh sentral dalam keberhasilan atau kegagalan Penatagunaan Antimikroba (PGA/Antimicrobial Stewardship) di rumah sakit. Setiap keputusan preskripsi yang dokter buat — mulai dari pertanyaan "apakah pasien ini benar-benar membutuhkan antibiotik?" hingga "sudah saatkan kita hentikan atau deeskalasi?" — secara langsung membentuk pola penggunaan antimikroba di institusinya, dan secara kumulatif membentuk lanskap resistensi antimikroba di Indonesia.</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Buku saku ini disusun bukan untuk memberikan daftar antibiotik per penyakit — itu sudah tersedia dalam Buku Saku Terapi Empirik Infeksi Umum di Indonesia (Seri 2). Tujuan buku ini adalah lebih mendasar: membantu dokter membangun kerangka berpikir klinis yang tepat dalam pengambilan keputusan antibiotik. Kapan mulai, bagaimana memilih secara tepat, bagaimana menghitung dosis berdasarkan prinsip PK/PD, kapan de-eskalasi wajib dilakukan, kapan dan bagaimana beralih dari IV ke oral, dan kapan harus menghentikan antibiotik.</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Buku ini juga membahas aspek praktis yang sering terlewatkan: cara membaca hasil kultur secara klinis, bagaimana berkolaborasi secara efektif dengan apoteker klinis dan Tim PRA, serta kewajiban dokumentasi dalam rekam medis yang mendukung audit penggunaan antimikroba.</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Sasaran utama pembaca adalah dokter umum di RS, dokter muda (PPDS, internship), dan dokter spesialis yang ingin memperbarui pemahaman mereka tentang prinsip PGA dalam praktik klinis sehari-hari. Semua rekomendasi dalam buku ini berlandaskan pada bukti ilmiah terkini dan regulasi nasional yang berlaku, termasuk Permenkes No. 28 Tahun 2021 dan KMK HK.01.07/MENKES/1596/2024 (STARKES 2024).</w:t>
      </w:r>
    </w:p>
    <w:p>
      <w:pPr>
        <w:spacing w:after="16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right"/>
      </w:pPr>
      <w:r>
        <w:rPr>
          <w:rFonts w:ascii="Times New Roman" w:cs="Times New Roman" w:eastAsia="Times New Roman" w:hAnsi="Times New Roman"/>
          <w:b w:val="false"/>
          <w:bCs w:val="false"/>
          <w:i w:val="false"/>
          <w:iCs w:val="false"/>
          <w:color w:val="1A1A1A"/>
          <w:sz w:val="20"/>
          <w:szCs w:val="20"/>
        </w:rPr>
        <w:t xml:space="preserve">Sragen, Juni 2026</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right"/>
      </w:pPr>
      <w:r>
        <w:rPr>
          <w:rFonts w:ascii="Times New Roman" w:cs="Times New Roman" w:eastAsia="Times New Roman" w:hAnsi="Times New Roman"/>
          <w:b w:val="false"/>
          <w:bCs w:val="false"/>
          <w:i w:val="false"/>
          <w:iCs w:val="false"/>
          <w:color w:val="1A1A1A"/>
          <w:sz w:val="20"/>
          <w:szCs w:val="20"/>
        </w:rPr>
        <w:t xml:space="preserve">Penulis,</w:t>
      </w:r>
    </w:p>
    <w:p>
      <w:pPr>
        <w:spacing w:after="16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right"/>
      </w:pPr>
      <w:r>
        <w:rPr>
          <w:rFonts w:ascii="Times New Roman" w:cs="Times New Roman" w:eastAsia="Times New Roman" w:hAnsi="Times New Roman"/>
          <w:b/>
          <w:bCs/>
          <w:i w:val="false"/>
          <w:iCs w:val="false"/>
          <w:color w:val="1A1A1A"/>
          <w:sz w:val="20"/>
          <w:szCs w:val="20"/>
        </w:rPr>
        <w:t xml:space="preserve">dr. Putu Cahya Legawa</w:t>
      </w:r>
    </w:p>
    <w:p>
      <w:pPr>
        <w:pStyle w:val="Heading1"/>
        <w:pageBreakBefore/>
        <w:spacing w:after="140" w:before="0"/>
      </w:pPr>
      <w:r>
        <w:rPr>
          <w:rFonts w:ascii="Arial" w:cs="Arial" w:eastAsia="Arial" w:hAnsi="Arial"/>
          <w:b/>
          <w:bCs/>
          <w:i w:val="false"/>
          <w:iCs w:val="false"/>
          <w:color w:val="4A235A"/>
          <w:sz w:val="28"/>
          <w:szCs w:val="28"/>
        </w:rPr>
        <w:t xml:space="preserve">TENTANG PENULIS</w:t>
      </w:r>
    </w:p>
    <w:p>
      <w:pPr>
        <w:pBdr>
          <w:bottom w:val="single" w:color="7D3C98"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20" w:before="40"/>
        <w:jc w:val="center"/>
      </w:pPr>
      <w:r>
        <w:rPr>
          <w:rFonts w:ascii="Arial" w:cs="Arial" w:eastAsia="Arial" w:hAnsi="Arial"/>
          <w:b/>
          <w:bCs/>
          <w:i w:val="false"/>
          <w:iCs w:val="false"/>
          <w:color w:val="4A235A"/>
          <w:sz w:val="26"/>
          <w:szCs w:val="26"/>
        </w:rPr>
        <w:t xml:space="preserve">dr. Putu Cahya Legawa</w:t>
      </w:r>
    </w:p>
    <w:p>
      <w:pPr>
        <w:spacing w:after="80" w:before="0"/>
        <w:jc w:val="center"/>
      </w:pPr>
      <w:r>
        <w:rPr>
          <w:rFonts w:ascii="Times New Roman" w:cs="Times New Roman" w:eastAsia="Times New Roman" w:hAnsi="Times New Roman"/>
          <w:b w:val="false"/>
          <w:bCs w:val="false"/>
          <w:i/>
          <w:iCs/>
          <w:color w:val="7D3C98"/>
          <w:sz w:val="20"/>
          <w:szCs w:val="20"/>
        </w:rPr>
        <w:t xml:space="preserve">Dokter Umum | Praktisi PPRA | Penulis Medis</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dr. Putu Cahya Legawa berpraktik sebagai dokter umum di RSU Sarila Husada dan Klinik Pratama Rawat Jalan Prasma Diagnostika, Sragen, Jawa Tengah. Beliau menjabat sebagai Wakil Ketua I Tim PRA RSU Sarila Husada dan aktif terlibat dalam implementasi antimicrobial stewardship di tingkat institusi.</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Platform</w:t>
            </w:r>
          </w:p>
        </w:tc>
        <w:tc>
          <w:tcPr>
            <w:tcW w:type="dxa" w:w="46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Tautan</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Blog / Portofolio</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legawa.com</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LinkedIn</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linkedin.com/in/haridiva</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GitHub</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github.com/haridiva</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Donasi</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saweria.co/haridiva</w:t>
            </w:r>
          </w:p>
        </w:tc>
      </w:tr>
    </w:tbl>
    <w:p>
      <w:pPr>
        <w:pStyle w:val="Heading1"/>
        <w:pageBreakBefore/>
        <w:spacing w:after="140" w:before="0"/>
      </w:pPr>
      <w:r>
        <w:rPr>
          <w:rFonts w:ascii="Arial" w:cs="Arial" w:eastAsia="Arial" w:hAnsi="Arial"/>
          <w:b/>
          <w:bCs/>
          <w:i w:val="false"/>
          <w:iCs w:val="false"/>
          <w:color w:val="4A235A"/>
          <w:sz w:val="28"/>
          <w:szCs w:val="28"/>
        </w:rPr>
        <w:t xml:space="preserve">DAFTAR SINGKATAN</w:t>
      </w:r>
    </w:p>
    <w:p>
      <w:pPr>
        <w:pBdr>
          <w:bottom w:val="single" w:color="7D3C98"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Singkatan</w:t>
            </w:r>
          </w:p>
        </w:tc>
        <w:tc>
          <w:tcPr>
            <w:tcW w:type="dxa" w:w="46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Kepanjangan</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AMS</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Antimicrobial Stewardship (Penatagunaan Antimikroba)</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AUC</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Area Under the Curve (Luas di Bawah Kurva konsentrasi-waktu)</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AWaRe</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 Watch, Reserve (Klasifikasi Antimikroba WHO)</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Cmax</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Konsentrasi Puncak Antibiotik</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CrCl</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Creatinine Clearance (Klirens Kreatinin)</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CRP</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C-Reactive Protein (Protein C-Reaktif)</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DPJP</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Dokter Penanggung Jawab Pelayanan</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ESBL</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Extended-Spectrum Beta-Lactamase</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FORKKIT</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Forum Kajian Kasus Infeksi Terintegrasi</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GFR</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Glomerular Filtration Rate</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IV</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Intravena</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IVOST</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IV-to-Oral Switch Therapy</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MDR</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Multi-Drug Resistant</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MIC</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Minimum Inhibitory Concentration (Konsentrasi Hambat Minimum)</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PCT</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Procalcitonin (Prokalsitonin)</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PGA</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Penatagunaan Antimikroba (Antimicrobial Stewardship)</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PK/PD</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Farmakokinetik / Farmakodinamik</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PPRA</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Program Pengendalian Resistensi Antimikroba</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QTc</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Interval QT yang dikoreksi (pada EKG)</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RFT</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Renal Function Tests (Uji Fungsi Ginjal)</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SSTI</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Skin and Soft Tissue Infection</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TDM</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Therapeutic Drug Monitoring</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%T&gt;MIC</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Persentase Waktu Konsentrasi Antibiotik di Atas MIC</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Tim PRA</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Tim Program Pengendalian Resistensi Antimikroba</w:t>
            </w:r>
          </w:p>
        </w:tc>
      </w:tr>
    </w:tbl>
    <w:p>
      <w:pPr>
        <w:pageBreakBefore/>
        <w:spacing w:after="20" w:before="0"/>
      </w:pPr>
      <w:r>
        <w:rPr>
          <w:rFonts w:ascii="Arial" w:cs="Arial" w:eastAsia="Arial" w:hAnsi="Arial"/>
          <w:b/>
          <w:bCs/>
          <w:i w:val="false"/>
          <w:iCs w:val="false"/>
          <w:color w:val="7D3C98"/>
          <w:sz w:val="20"/>
          <w:szCs w:val="20"/>
        </w:rPr>
        <w:t xml:space="preserve">BAB 1</w:t>
      </w:r>
    </w:p>
    <w:p>
      <w:pPr>
        <w:pStyle w:val="Heading1"/>
        <w:spacing w:after="100" w:before="0"/>
      </w:pPr>
      <w:r>
        <w:rPr>
          <w:rFonts w:ascii="Arial" w:cs="Arial" w:eastAsia="Arial" w:hAnsi="Arial"/>
          <w:b/>
          <w:bCs/>
          <w:i w:val="false"/>
          <w:iCs w:val="false"/>
          <w:color w:val="4A235A"/>
          <w:sz w:val="28"/>
          <w:szCs w:val="28"/>
        </w:rPr>
        <w:t xml:space="preserve">PGA: TANGGUNG JAWAB SENTRAL DOKTER</w:t>
      </w:r>
    </w:p>
    <w:p>
      <w:pPr>
        <w:pBdr>
          <w:bottom w:val="single" w:color="7D3C98"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7D3C98"/>
          <w:sz w:val="24"/>
          <w:szCs w:val="24"/>
        </w:rPr>
        <w:t xml:space="preserve">1.1 Mengapa PGA Bukan Hanya Urusan Farmasi</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PGA sering dipersepsikan sebagai program farmasi atau program Tim PRA. Persepsi ini keliru. Dokter adalah pemain paling krusial dalam PGA karena dokter yang memegang otoritas preskripsi. Tim PRA dan apoteker klinis berperan sebagai mitra dan fasilitator, bukan pengambil keputusan utama.</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Peran</w:t>
            </w:r>
          </w:p>
        </w:tc>
        <w:tc>
          <w:tcPr>
            <w:tcW w:type="dxa" w:w="46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Siapa yang Bertanggung Jawab</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Keputusan mulai/tidak mulai antibiotik</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Dokter (DPJP)</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Pemilihan jenis, dosis, rute, durasi antibiotik</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Dokter (DPJP)</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Evaluasi respons terapi dalam 48-72 jam</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Dokter (DPJP)</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De-eskalasi dan penghentian antibiotik</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Dokter (DPJP) + rekomendasi apoteker klinis</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Penulisan dokumentasi klinis dalam RM</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Dokter (DPJP)</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Pengambilan spesimen kultur sebelum AB</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Dokter yang meresepkan + perawat pelaksana</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Audit kualitas preskripsi (Gyssens)</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Tim PRA + apoteker klinis (berbasis data RM dokter)</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Rekomendasi de-eskalasi / IVOST</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Apoteker klinis (rekomendasi kepada dokter)</w:t>
            </w:r>
          </w:p>
        </w:tc>
      </w:tr>
    </w:tbl>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7D3C98" w:sz="1"/>
              <w:left w:val="single" w:color="7D3C98" w:sz="1"/>
              <w:bottom w:val="single" w:color="7D3C98" w:sz="1"/>
              <w:right w:val="single" w:color="7D3C98" w:sz="1"/>
            </w:tcBorders>
            <w:shd w:fill="F4ECF7"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bCs/>
                <w:i w:val="false"/>
                <w:iCs w:val="false"/>
                <w:color w:val="1A1A1A"/>
                <w:sz w:val="18"/>
                <w:szCs w:val="18"/>
              </w:rPr>
              <w:t xml:space="preserve">KUNCI: Seorang dokter yang memahami prinsip PGA tidak hanya "patuh pada program" —</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ia adalah agen perubahan aktif yang secara sadar membuat keputusan preskripsi terbaik</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untuk pasiennya sekaligus untuk kesehatan masyarakat secara luas.</w:t>
            </w:r>
          </w:p>
        </w:tc>
      </w:tr>
    </w:tbl>
    <w:p>
      <w:pPr>
        <w:pStyle w:val="Heading2"/>
        <w:spacing w:after="100" w:before="200"/>
      </w:pPr>
      <w:r>
        <w:rPr>
          <w:rFonts w:ascii="Arial" w:cs="Arial" w:eastAsia="Arial" w:hAnsi="Arial"/>
          <w:b/>
          <w:bCs/>
          <w:i w:val="false"/>
          <w:iCs w:val="false"/>
          <w:color w:val="7D3C98"/>
          <w:sz w:val="24"/>
          <w:szCs w:val="24"/>
        </w:rPr>
        <w:t xml:space="preserve">1.2 Manfaat PGA bagi Dokter dan Pasien</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400"/>
        <w:gridCol w:w="2600"/>
        <w:gridCol w:w="2689"/>
      </w:tblGrid>
      <w:tr>
        <w:trPr>
          <w:tblHeader/>
        </w:trPr>
        <w:tc>
          <w:tcPr>
            <w:tcW w:type="dxa" w:w="14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Manfaat</w:t>
            </w:r>
          </w:p>
        </w:tc>
        <w:tc>
          <w:tcPr>
            <w:tcW w:type="dxa" w:w="26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Untuk Pasien</w:t>
            </w:r>
          </w:p>
        </w:tc>
        <w:tc>
          <w:tcPr>
            <w:tcW w:type="dxa" w:w="26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Untuk Dokter / RS</w:t>
            </w:r>
          </w:p>
        </w:tc>
      </w:tr>
      <w:tr>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Efektivitas terapi</w:t>
            </w:r>
          </w:p>
        </w:tc>
        <w:tc>
          <w:tcPr>
            <w:tcW w:type="dxa" w:w="2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Terapi yang tepat meningkatkan angka kesembuhan; mengurangi risiko kegagalan terapi karena MDR</w:t>
            </w:r>
          </w:p>
        </w:tc>
        <w:tc>
          <w:tcPr>
            <w:tcW w:type="dxa" w:w="2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Audit Gyssens yang baik = bukti mutu praktik klinis dokter</w:t>
            </w:r>
          </w:p>
        </w:tc>
      </w:tr>
      <w:tr>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Keamanan pasien</w:t>
            </w:r>
          </w:p>
        </w:tc>
        <w:tc>
          <w:tcPr>
            <w:tcW w:type="dxa" w:w="2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Meminimalkan efek samping antibiotik (nefrotoksik, C. diff, QTc memanjang)</w:t>
            </w:r>
          </w:p>
        </w:tc>
        <w:tc>
          <w:tcPr>
            <w:tcW w:type="dxa" w:w="2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Mengurangi komplikasi yang harus ditangani</w:t>
            </w:r>
          </w:p>
        </w:tc>
      </w:tr>
      <w:tr>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Efisiensi biaya</w:t>
            </w:r>
          </w:p>
        </w:tc>
        <w:tc>
          <w:tcPr>
            <w:tcW w:type="dxa" w:w="2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Durasi rawat lebih pendek; IVOST lebih cepat pulang; biaya obat lebih rendah</w:t>
            </w:r>
          </w:p>
        </w:tc>
        <w:tc>
          <w:tcPr>
            <w:tcW w:type="dxa" w:w="2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Indikator kinerja RS meningkat; kepuasan pasien lebih tinggi</w:t>
            </w:r>
          </w:p>
        </w:tc>
      </w:tr>
      <w:tr>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Kepatuhan regulasi</w:t>
            </w:r>
          </w:p>
        </w:tc>
        <w:tc>
          <w:tcPr>
            <w:tcW w:type="dxa" w:w="2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Pasien mendapat standar pelayanan bermutu</w:t>
            </w:r>
          </w:p>
        </w:tc>
        <w:tc>
          <w:tcPr>
            <w:tcW w:type="dxa" w:w="2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Penilaian Prognas 6.1 KARS terpenuhi</w:t>
            </w:r>
          </w:p>
        </w:tc>
      </w:tr>
    </w:tbl>
    <w:p>
      <w:pPr>
        <w:pStyle w:val="Heading2"/>
        <w:spacing w:after="100" w:before="200"/>
      </w:pPr>
      <w:r>
        <w:rPr>
          <w:rFonts w:ascii="Arial" w:cs="Arial" w:eastAsia="Arial" w:hAnsi="Arial"/>
          <w:b/>
          <w:bCs/>
          <w:i w:val="false"/>
          <w:iCs w:val="false"/>
          <w:color w:val="7D3C98"/>
          <w:sz w:val="24"/>
          <w:szCs w:val="24"/>
        </w:rPr>
        <w:t xml:space="preserve">1.3 Kewajiban Dokter dalam Regulasi Nasional</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Permenkes No. 28 Tahun 2021 tentang Pedoman Penggunaan Antibiotik secara eksplisit menetapkan bahwa setiap dokter penulis resep berkewajiban menggunakan antibiotik secara rasional, berdasarkan indikasi yang tepat, sesuai dengan bukti ilmiah terkini dan panduan klinis yang berlaku di institusinya.</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Dalam konteks akreditasi KARS STARKES 2024 (Prognas 6.1), rekomendasi de-eskalasi dan IVOST dari apoteker klinis bersifat formal dan harus ditanggapi secara tertulis oleh DPJP dalam rekam medis. Ketidaktanggapan terhadap rekomendasi Tim PRA dapat menjadi temuan survei.</w:t>
      </w:r>
    </w:p>
    <w:p>
      <w:pPr>
        <w:pageBreakBefore/>
        <w:spacing w:after="20" w:before="0"/>
      </w:pPr>
      <w:r>
        <w:rPr>
          <w:rFonts w:ascii="Arial" w:cs="Arial" w:eastAsia="Arial" w:hAnsi="Arial"/>
          <w:b/>
          <w:bCs/>
          <w:i w:val="false"/>
          <w:iCs w:val="false"/>
          <w:color w:val="7D3C98"/>
          <w:sz w:val="20"/>
          <w:szCs w:val="20"/>
        </w:rPr>
        <w:t xml:space="preserve">BAB 2</w:t>
      </w:r>
    </w:p>
    <w:p>
      <w:pPr>
        <w:pStyle w:val="Heading1"/>
        <w:spacing w:after="100" w:before="0"/>
      </w:pPr>
      <w:r>
        <w:rPr>
          <w:rFonts w:ascii="Arial" w:cs="Arial" w:eastAsia="Arial" w:hAnsi="Arial"/>
          <w:b/>
          <w:bCs/>
          <w:i w:val="false"/>
          <w:iCs w:val="false"/>
          <w:color w:val="4A235A"/>
          <w:sz w:val="28"/>
          <w:szCs w:val="28"/>
        </w:rPr>
        <w:t xml:space="preserve">KERANGKA KEPUTUSAN KLINIS: KAPAN DAN MENGAPA ANTIBIOTIK?</w:t>
      </w:r>
    </w:p>
    <w:p>
      <w:pPr>
        <w:pBdr>
          <w:bottom w:val="single" w:color="7D3C98"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7D3C98"/>
          <w:sz w:val="24"/>
          <w:szCs w:val="24"/>
        </w:rPr>
        <w:t xml:space="preserve">2.1 Pertanyaan Kritis Sebelum Meresepkan</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Sebelum menuliskan resep antibiotik, setiap dokter sebaiknya menjawab 5 pertanyaan berikut secara sistematis:</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Pertanyaan</w:t>
            </w:r>
          </w:p>
        </w:tc>
        <w:tc>
          <w:tcPr>
            <w:tcW w:type="dxa" w:w="46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Panduan Klinis</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 Apakah ini infeksi bakteri?</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Cari bukti: demam + leukositosis + CRP tinggi + tanda lokal infeksi. Pastikan bukan viral, inflamasi non-infeksi, atau reaksi obat.</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2. Apakah kultur sudah diambil?</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Ambil spesimen relevan SEBELUM antibiotik pertama — darah (2 set), urine, sputum, pus — kecuali kondisi gawat darurat (syok septik).</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3. Antibiotik apa yang tepat?</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Pilih berdasarkan: dugaan patogen, AWaRe (utamakan ACCESS), antibiogram lokal, kondisi pasien (alergi, fungsi ginjal/hati).</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4. Berapa dosis dan rute?</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Sesuaikan dengan PK/PD, berat badan, dan fungsi ginjal. Pertimbangkan IV hanya jika ada indikasi kuat; prioritaskan oral jika memungkinkan.</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5. Kapan dievaluasi dan dihentikan?</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Tetapkan tanggal evaluasi 48-72 jam. Rencanakan durasi minimal. Dokumentasikan rencana de-eskalasi dalam rekam medis.</w:t>
            </w:r>
          </w:p>
        </w:tc>
      </w:tr>
    </w:tbl>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7D3C98" w:sz="1"/>
              <w:left w:val="single" w:color="7D3C98" w:sz="1"/>
              <w:bottom w:val="single" w:color="7D3C98" w:sz="1"/>
              <w:right w:val="single" w:color="7D3C98" w:sz="1"/>
            </w:tcBorders>
            <w:shd w:fill="FFF8E1"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bCs/>
                <w:i w:val="false"/>
                <w:iCs w:val="false"/>
                <w:color w:val="1A1A1A"/>
                <w:sz w:val="18"/>
                <w:szCs w:val="18"/>
              </w:rPr>
              <w:t xml:space="preserve">KUNCI: "Antibiotic Time-Out" — evaluasi ulang pemberian antibiotik dalam 48-72 jam</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adalah praktik wajib PGA. Pertanyaan: "Apakah pasien ini masih membutuhkan antibiotik ini?</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Bisakah kita ganti yang lebih sempit atau beralih ke oral?"</w:t>
            </w:r>
          </w:p>
        </w:tc>
      </w:tr>
    </w:tbl>
    <w:p>
      <w:pPr>
        <w:pStyle w:val="Heading2"/>
        <w:spacing w:after="100" w:before="200"/>
      </w:pPr>
      <w:r>
        <w:rPr>
          <w:rFonts w:ascii="Arial" w:cs="Arial" w:eastAsia="Arial" w:hAnsi="Arial"/>
          <w:b/>
          <w:bCs/>
          <w:i w:val="false"/>
          <w:iCs w:val="false"/>
          <w:color w:val="7D3C98"/>
          <w:sz w:val="24"/>
          <w:szCs w:val="24"/>
        </w:rPr>
        <w:t xml:space="preserve">2.2 Kondisi yang TIDAK Memerlukan Antibiotik</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500"/>
        <w:gridCol w:w="2400"/>
        <w:gridCol w:w="2789"/>
      </w:tblGrid>
      <w:tr>
        <w:trPr>
          <w:tblHeader/>
        </w:trPr>
        <w:tc>
          <w:tcPr>
            <w:tcW w:type="dxa" w:w="15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Kondisi</w:t>
            </w:r>
          </w:p>
        </w:tc>
        <w:tc>
          <w:tcPr>
            <w:tcW w:type="dxa" w:w="24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Mengapa Tidak Perlu Antibiotik</w:t>
            </w:r>
          </w:p>
        </w:tc>
        <w:tc>
          <w:tcPr>
            <w:tcW w:type="dxa" w:w="27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Terapi yang Tepat</w:t>
            </w:r>
          </w:p>
        </w:tc>
      </w:tr>
      <w:tr>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Faringitis virus (tidak ada tanda GAS)</w:t>
            </w:r>
          </w:p>
        </w:tc>
        <w:tc>
          <w:tcPr>
            <w:tcW w:type="dxa" w:w="2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Penyebab viral (rhinovirus, EBV, Adenovirus); Centor/McIsaac &lt; 3 dan RADT negatif</w:t>
            </w:r>
          </w:p>
        </w:tc>
        <w:tc>
          <w:tcPr>
            <w:tcW w:type="dxa" w:w="27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Parasetamol/ibuprofen; hidrasi; observasi</w:t>
            </w:r>
          </w:p>
        </w:tc>
      </w:tr>
      <w:tr>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Bronkitis akut tanpa komplikasi</w:t>
            </w:r>
          </w:p>
        </w:tc>
        <w:tc>
          <w:tcPr>
            <w:tcW w:type="dxa" w:w="2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Hampir selalu viral; antibiotik tidak memperpendek durasi gejala secara bermakna</w:t>
            </w:r>
          </w:p>
        </w:tc>
        <w:tc>
          <w:tcPr>
            <w:tcW w:type="dxa" w:w="27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Simtomatik; jangan berikan antibiotik "berjaga-jaga"</w:t>
            </w:r>
          </w:p>
        </w:tc>
      </w:tr>
      <w:tr>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Common cold / ISPA atas viral</w:t>
            </w:r>
          </w:p>
        </w:tc>
        <w:tc>
          <w:tcPr>
            <w:tcW w:type="dxa" w:w="2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Penyebab virus; tidak ada manfaat antibiotik yang terbukti</w:t>
            </w:r>
          </w:p>
        </w:tc>
        <w:tc>
          <w:tcPr>
            <w:tcW w:type="dxa" w:w="27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Simtomatik; edukasi pasien</w:t>
            </w:r>
          </w:p>
        </w:tc>
      </w:tr>
      <w:tr>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Gastroenteritis akut tanpa komplikasi</w:t>
            </w:r>
          </w:p>
        </w:tc>
        <w:tc>
          <w:tcPr>
            <w:tcW w:type="dxa" w:w="2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Umumnya viral atau self-limiting bacterial; antibiotik dapat memperparah</w:t>
            </w:r>
          </w:p>
        </w:tc>
        <w:tc>
          <w:tcPr>
            <w:tcW w:type="dxa" w:w="27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Rehidrasi oral; probiotik; monitor tanda komplikasi</w:t>
            </w:r>
          </w:p>
        </w:tc>
      </w:tr>
      <w:tr>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Luka bersih tanpa tanda infeksi</w:t>
            </w:r>
          </w:p>
        </w:tc>
        <w:tc>
          <w:tcPr>
            <w:tcW w:type="dxa" w:w="2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Profilaksis antibiotik tidak dianjurkan untuk luka bersih tanpa faktor risiko</w:t>
            </w:r>
          </w:p>
        </w:tc>
        <w:tc>
          <w:tcPr>
            <w:tcW w:type="dxa" w:w="27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Perawatan luka; vaksin tetanus jika perlu</w:t>
            </w:r>
          </w:p>
        </w:tc>
      </w:tr>
      <w:tr>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Bakteriuria asimtomatik (kecuali hamil)</w:t>
            </w:r>
          </w:p>
        </w:tc>
        <w:tc>
          <w:tcPr>
            <w:tcW w:type="dxa" w:w="2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terbukti menguntungkan kecuali pada ibu hamil dan prosedur urologi invasif</w:t>
            </w:r>
          </w:p>
        </w:tc>
        <w:tc>
          <w:tcPr>
            <w:tcW w:type="dxa" w:w="27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Observasi; tidak perlu pengobatan</w:t>
            </w:r>
          </w:p>
        </w:tc>
      </w:tr>
    </w:tbl>
    <w:p>
      <w:pPr>
        <w:pStyle w:val="Heading2"/>
        <w:spacing w:after="100" w:before="200"/>
      </w:pPr>
      <w:r>
        <w:rPr>
          <w:rFonts w:ascii="Arial" w:cs="Arial" w:eastAsia="Arial" w:hAnsi="Arial"/>
          <w:b/>
          <w:bCs/>
          <w:i w:val="false"/>
          <w:iCs w:val="false"/>
          <w:color w:val="7D3C98"/>
          <w:sz w:val="24"/>
          <w:szCs w:val="24"/>
        </w:rPr>
        <w:t xml:space="preserve">2.3 Skor dan Alat Bantu Keputusan Klinis</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500"/>
        <w:gridCol w:w="2700"/>
        <w:gridCol w:w="2489"/>
      </w:tblGrid>
      <w:tr>
        <w:trPr>
          <w:tblHeader/>
        </w:trPr>
        <w:tc>
          <w:tcPr>
            <w:tcW w:type="dxa" w:w="15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Alat Bantu</w:t>
            </w:r>
          </w:p>
        </w:tc>
        <w:tc>
          <w:tcPr>
            <w:tcW w:type="dxa" w:w="27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Digunakan Untuk</w:t>
            </w:r>
          </w:p>
        </w:tc>
        <w:tc>
          <w:tcPr>
            <w:tcW w:type="dxa" w:w="24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Poin Kunci</w:t>
            </w:r>
          </w:p>
        </w:tc>
      </w:tr>
      <w:tr>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Centor / McIsaac Score</w:t>
            </w:r>
          </w:p>
        </w:tc>
        <w:tc>
          <w:tcPr>
            <w:tcW w:type="dxa" w:w="2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Faringitis: perlu antibiotik atau tidak?</w:t>
            </w:r>
          </w:p>
        </w:tc>
        <w:tc>
          <w:tcPr>
            <w:tcW w:type="dxa" w:w="24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Skor &gt;= 3: pertimbangkan antibiotik; ideally konfirmasi dengan RADT</w:t>
            </w:r>
          </w:p>
        </w:tc>
      </w:tr>
      <w:tr>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CURB-65</w:t>
            </w:r>
          </w:p>
        </w:tc>
        <w:tc>
          <w:tcPr>
            <w:tcW w:type="dxa" w:w="2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Pneumonia: rawat jalan vs rawat inap vs ICU?</w:t>
            </w:r>
          </w:p>
        </w:tc>
        <w:tc>
          <w:tcPr>
            <w:tcW w:type="dxa" w:w="24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Skor 0-1: rawat jalan; 2: rawat inap; &gt;= 3: pertimbangkan ICU</w:t>
            </w:r>
          </w:p>
        </w:tc>
      </w:tr>
      <w:tr>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qSOFA / SOFA</w:t>
            </w:r>
          </w:p>
        </w:tc>
        <w:tc>
          <w:tcPr>
            <w:tcW w:type="dxa" w:w="2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Skrining sepsis pada pasien dengan suspek infeksi</w:t>
            </w:r>
          </w:p>
        </w:tc>
        <w:tc>
          <w:tcPr>
            <w:tcW w:type="dxa" w:w="24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qSOFA &gt;= 2: tingkatkan kewaspadaan; hitung SOFA penuh; ambil kultur segera</w:t>
            </w:r>
          </w:p>
        </w:tc>
      </w:tr>
      <w:tr>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LRINEC Score</w:t>
            </w:r>
          </w:p>
        </w:tc>
        <w:tc>
          <w:tcPr>
            <w:tcW w:type="dxa" w:w="2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Necrotizing fasciitis: kecurigaan vs selulitis biasa?</w:t>
            </w:r>
          </w:p>
        </w:tc>
        <w:tc>
          <w:tcPr>
            <w:tcW w:type="dxa" w:w="24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LRINEC &gt;= 6: kecurigaan tinggi NF; konsul bedah segera</w:t>
            </w:r>
          </w:p>
        </w:tc>
      </w:tr>
      <w:tr>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PSI / PORT Score</w:t>
            </w:r>
          </w:p>
        </w:tc>
        <w:tc>
          <w:tcPr>
            <w:tcW w:type="dxa" w:w="2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CAP: stratifikasi risiko lebih detail dari CURB-65</w:t>
            </w:r>
          </w:p>
        </w:tc>
        <w:tc>
          <w:tcPr>
            <w:tcW w:type="dxa" w:w="24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Kelas I-II: risiko rendah; Kelas IV-V: rawat inap/ICU</w:t>
            </w:r>
          </w:p>
        </w:tc>
      </w:tr>
    </w:tbl>
    <w:p>
      <w:pPr>
        <w:pageBreakBefore/>
        <w:spacing w:after="20" w:before="0"/>
      </w:pPr>
      <w:r>
        <w:rPr>
          <w:rFonts w:ascii="Arial" w:cs="Arial" w:eastAsia="Arial" w:hAnsi="Arial"/>
          <w:b/>
          <w:bCs/>
          <w:i w:val="false"/>
          <w:iCs w:val="false"/>
          <w:color w:val="7D3C98"/>
          <w:sz w:val="20"/>
          <w:szCs w:val="20"/>
        </w:rPr>
        <w:t xml:space="preserve">BAB 3</w:t>
      </w:r>
    </w:p>
    <w:p>
      <w:pPr>
        <w:pStyle w:val="Heading1"/>
        <w:spacing w:after="100" w:before="0"/>
      </w:pPr>
      <w:r>
        <w:rPr>
          <w:rFonts w:ascii="Arial" w:cs="Arial" w:eastAsia="Arial" w:hAnsi="Arial"/>
          <w:b/>
          <w:bCs/>
          <w:i w:val="false"/>
          <w:iCs w:val="false"/>
          <w:color w:val="4A235A"/>
          <w:sz w:val="28"/>
          <w:szCs w:val="28"/>
        </w:rPr>
        <w:t xml:space="preserve">PEMILIHAN ANTIBIOTIK: MULAI DARI YANG TERSEMPIT</w:t>
      </w:r>
    </w:p>
    <w:p>
      <w:pPr>
        <w:pBdr>
          <w:bottom w:val="single" w:color="7D3C98"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7D3C98"/>
          <w:sz w:val="24"/>
          <w:szCs w:val="24"/>
        </w:rPr>
        <w:t xml:space="preserve">3.1 Prinsip "Start Smart, Then Focus"</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"Start Smart" berarti terapi empirik harus dimulai dengan antibiotik yang mencakup patogen yang paling mungkin, dengan spektrum sesempit yang masih efektif. "Then Focus" berarti terapi harus di-review dan difokuskan (de-eskalasi) segera setelah hasil kultur tersedia (48-72 jam).</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Penggunaan antibiotik spektrum luas secara rutin tanpa indikasi merupakan kesalahan PGA yang umum dan paling merusak — bahkan jika pasien sembuh. "Pasien sembuh" bukan pembenaran untuk preskripsi yang tidak tepat.</w:t>
      </w:r>
    </w:p>
    <w:p>
      <w:pPr>
        <w:pStyle w:val="Heading2"/>
        <w:spacing w:after="100" w:before="200"/>
      </w:pPr>
      <w:r>
        <w:rPr>
          <w:rFonts w:ascii="Arial" w:cs="Arial" w:eastAsia="Arial" w:hAnsi="Arial"/>
          <w:b/>
          <w:bCs/>
          <w:i w:val="false"/>
          <w:iCs w:val="false"/>
          <w:color w:val="7D3C98"/>
          <w:sz w:val="24"/>
          <w:szCs w:val="24"/>
        </w:rPr>
        <w:t xml:space="preserve">3.2 AWaRe sebagai Panduan Pemilihan di Klinik</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100"/>
        <w:gridCol w:w="3100"/>
        <w:gridCol w:w="2489"/>
      </w:tblGrid>
      <w:tr>
        <w:trPr>
          <w:tblHeader/>
        </w:trPr>
        <w:tc>
          <w:tcPr>
            <w:tcW w:type="dxa" w:w="11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Kategori AWaRe</w:t>
            </w:r>
          </w:p>
        </w:tc>
        <w:tc>
          <w:tcPr>
            <w:tcW w:type="dxa" w:w="31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Kapan Digunakan oleh Dokter?</w:t>
            </w:r>
          </w:p>
        </w:tc>
        <w:tc>
          <w:tcPr>
            <w:tcW w:type="dxa" w:w="24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Contoh Antibiotik</w:t>
            </w:r>
          </w:p>
        </w:tc>
      </w:tr>
      <w:tr>
        <w:tc>
          <w:tcPr>
            <w:tcW w:type="dxa" w:w="1100"/>
            <w:tcBorders>
              <w:top w:val="single" w:color="CBA4D0" w:sz="1"/>
              <w:left w:val="single" w:color="CBA4D0" w:sz="1"/>
              <w:bottom w:val="single" w:color="CBA4D0" w:sz="1"/>
              <w:right w:val="single" w:color="CBA4D0" w:sz="1"/>
            </w:tcBorders>
            <w:shd w:fill="E8F5E9" w:val="clear"/>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(Utamakan dulu)</w:t>
            </w:r>
          </w:p>
        </w:tc>
        <w:tc>
          <w:tcPr>
            <w:tcW w:type="dxa" w:w="3100"/>
            <w:tcBorders>
              <w:top w:val="single" w:color="CBA4D0" w:sz="1"/>
              <w:left w:val="single" w:color="CBA4D0" w:sz="1"/>
              <w:bottom w:val="single" w:color="CBA4D0" w:sz="1"/>
              <w:right w:val="single" w:color="CBA4D0"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Lini pertama untuk sebagian besar infeksi komunitas; infeksi ringan-sedang; bila patogen tersensitif; rawat jalan dan rawat inap umum</w:t>
            </w:r>
          </w:p>
        </w:tc>
        <w:tc>
          <w:tcPr>
            <w:tcW w:type="dxa" w:w="2489"/>
            <w:tcBorders>
              <w:top w:val="single" w:color="CBA4D0" w:sz="1"/>
              <w:left w:val="single" w:color="CBA4D0" w:sz="1"/>
              <w:bottom w:val="single" w:color="CBA4D0" w:sz="1"/>
              <w:right w:val="single" w:color="CBA4D0"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Amoksisilin, amoksisilin-klav, ampisilin-sulbaktam, cefazolin, sefaleksin, ko-trimoksazol, metronidazol, klindamisin, doksisiklin</w:t>
            </w:r>
          </w:p>
        </w:tc>
      </w:tr>
      <w:tr>
        <w:tc>
          <w:tcPr>
            <w:tcW w:type="dxa" w:w="1100"/>
            <w:tcBorders>
              <w:top w:val="single" w:color="CBA4D0" w:sz="1"/>
              <w:left w:val="single" w:color="CBA4D0" w:sz="1"/>
              <w:bottom w:val="single" w:color="CBA4D0" w:sz="1"/>
              <w:right w:val="single" w:color="CBA4D0" w:sz="1"/>
            </w:tcBorders>
            <w:shd w:fill="FBE9E7" w:val="clear"/>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WATCH</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(Dengan indikasi)</w:t>
            </w:r>
          </w:p>
        </w:tc>
        <w:tc>
          <w:tcPr>
            <w:tcW w:type="dxa" w:w="3100"/>
            <w:tcBorders>
              <w:top w:val="single" w:color="CBA4D0" w:sz="1"/>
              <w:left w:val="single" w:color="CBA4D0" w:sz="1"/>
              <w:bottom w:val="single" w:color="CBA4D0" w:sz="1"/>
              <w:right w:val="single" w:color="CBA4D0" w:sz="1"/>
            </w:tcBorders>
            <w:shd w:fill="FBE9E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Infeksi berat; kegagalan lini ACCESS; patogen resisten; CAP berat/HAP; ISK komplikasi; infeksi intra-abdominal sedang-berat; sepsis</w:t>
            </w:r>
          </w:p>
        </w:tc>
        <w:tc>
          <w:tcPr>
            <w:tcW w:type="dxa" w:w="2489"/>
            <w:tcBorders>
              <w:top w:val="single" w:color="CBA4D0" w:sz="1"/>
              <w:left w:val="single" w:color="CBA4D0" w:sz="1"/>
              <w:bottom w:val="single" w:color="CBA4D0" w:sz="1"/>
              <w:right w:val="single" w:color="CBA4D0" w:sz="1"/>
            </w:tcBorders>
            <w:shd w:fill="FBE9E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Ceftriaxon, cefoperazon-sulbaktam, ciprofloxacin, levofloxacin, azitromisin, amikacin, piperasilin-tazobaktam</w:t>
            </w:r>
          </w:p>
        </w:tc>
      </w:tr>
      <w:tr>
        <w:tc>
          <w:tcPr>
            <w:tcW w:type="dxa" w:w="1100"/>
            <w:tcBorders>
              <w:top w:val="single" w:color="CBA4D0" w:sz="1"/>
              <w:left w:val="single" w:color="CBA4D0" w:sz="1"/>
              <w:bottom w:val="single" w:color="CBA4D0" w:sz="1"/>
              <w:right w:val="single" w:color="CBA4D0" w:sz="1"/>
            </w:tcBorders>
            <w:shd w:fill="FFEBEE" w:val="clear"/>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RESERVE</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(Hanya indikasi ketat)</w:t>
            </w:r>
          </w:p>
        </w:tc>
        <w:tc>
          <w:tcPr>
            <w:tcW w:type="dxa" w:w="3100"/>
            <w:tcBorders>
              <w:top w:val="single" w:color="CBA4D0" w:sz="1"/>
              <w:left w:val="single" w:color="CBA4D0" w:sz="1"/>
              <w:bottom w:val="single" w:color="CBA4D0" w:sz="1"/>
              <w:right w:val="single" w:color="CBA4D0" w:sz="1"/>
            </w:tcBorders>
            <w:shd w:fill="FFEBEE"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Infeksi MDR yang terkonfirmasi atau sangat dicurigai; hanya setelah kultur dan sensitivitas mendukung; umumnya perlu konsul/notifikasi Tim PRA</w:t>
            </w:r>
          </w:p>
        </w:tc>
        <w:tc>
          <w:tcPr>
            <w:tcW w:type="dxa" w:w="2489"/>
            <w:tcBorders>
              <w:top w:val="single" w:color="CBA4D0" w:sz="1"/>
              <w:left w:val="single" w:color="CBA4D0" w:sz="1"/>
              <w:bottom w:val="single" w:color="CBA4D0" w:sz="1"/>
              <w:right w:val="single" w:color="CBA4D0" w:sz="1"/>
            </w:tcBorders>
            <w:shd w:fill="FFEBEE"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Meropenem, vankomisin, kolistin, linezolid, ertapenem</w:t>
            </w:r>
          </w:p>
        </w:tc>
      </w:tr>
    </w:tbl>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7D3C98" w:sz="1"/>
              <w:left w:val="single" w:color="7D3C98" w:sz="1"/>
              <w:bottom w:val="single" w:color="7D3C98" w:sz="1"/>
              <w:right w:val="single" w:color="7D3C98" w:sz="1"/>
            </w:tcBorders>
            <w:shd w:fill="E8F5E9"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Target nasional AWaRe (Kemenkes RI &amp; WHO): proporsi konsumsi ACCESS &gt; 60% dari</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total DDD antibiotik di RS. Setiap dokter berkontribusi pada capaian target ini melalui</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pilihan antibiotik yang dibuat setiap hari.</w:t>
            </w:r>
          </w:p>
        </w:tc>
      </w:tr>
    </w:tbl>
    <w:p>
      <w:pPr>
        <w:pStyle w:val="Heading2"/>
        <w:spacing w:after="100" w:before="200"/>
      </w:pPr>
      <w:r>
        <w:rPr>
          <w:rFonts w:ascii="Arial" w:cs="Arial" w:eastAsia="Arial" w:hAnsi="Arial"/>
          <w:b/>
          <w:bCs/>
          <w:i w:val="false"/>
          <w:iCs w:val="false"/>
          <w:color w:val="7D3C98"/>
          <w:sz w:val="24"/>
          <w:szCs w:val="24"/>
        </w:rPr>
        <w:t xml:space="preserve">3.3 Faktor Pasien yang Mempengaruhi Pemilihan</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400"/>
        <w:gridCol w:w="2500"/>
        <w:gridCol w:w="2789"/>
      </w:tblGrid>
      <w:tr>
        <w:trPr>
          <w:tblHeader/>
        </w:trPr>
        <w:tc>
          <w:tcPr>
            <w:tcW w:type="dxa" w:w="14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Faktor</w:t>
            </w:r>
          </w:p>
        </w:tc>
        <w:tc>
          <w:tcPr>
            <w:tcW w:type="dxa" w:w="25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Pertimbangan Klinis</w:t>
            </w:r>
          </w:p>
        </w:tc>
        <w:tc>
          <w:tcPr>
            <w:tcW w:type="dxa" w:w="27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Contoh Penyesuaian</w:t>
            </w:r>
          </w:p>
        </w:tc>
      </w:tr>
      <w:tr>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Riwayat alergi penisilin</w:t>
            </w:r>
          </w:p>
        </w:tc>
        <w:tc>
          <w:tcPr>
            <w:tcW w:type="dxa" w:w="2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Tentukan jenis reaksi: anafilaksis (berat) vs ruam (ringan). Banyak pasien "alergi penisilin" sebenarnya bisa mendapat sefalosporin.</w:t>
            </w:r>
          </w:p>
        </w:tc>
        <w:tc>
          <w:tcPr>
            <w:tcW w:type="dxa" w:w="27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Reaksi anafilaksis: hindari beta-laktam; gunakan klindamisin/azitromisin. Reaksi ringan: sefalosporin generasi 3 umumnya aman.</w:t>
            </w:r>
          </w:p>
        </w:tc>
      </w:tr>
      <w:tr>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Gangguan fungsi ginjal (CKD)</w:t>
            </w:r>
          </w:p>
        </w:tc>
        <w:tc>
          <w:tcPr>
            <w:tcW w:type="dxa" w:w="2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Sebagian besar antibiotik dieliminasi ginjal; dosis perlu disesuaikan dengan CrCl</w:t>
            </w:r>
          </w:p>
        </w:tc>
        <w:tc>
          <w:tcPr>
            <w:tcW w:type="dxa" w:w="27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Lihat tabel penyesuaian dosis di BAB 4; hati-hati aminoglikosida dan nitrofurantoin pada CrCl &lt; 30</w:t>
            </w:r>
          </w:p>
        </w:tc>
      </w:tr>
      <w:tr>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Gangguan fungsi hati</w:t>
            </w:r>
          </w:p>
        </w:tc>
        <w:tc>
          <w:tcPr>
            <w:tcW w:type="dxa" w:w="2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Antibiotik yang dimetabolisme hati perlu penyesuaian: metronidazol, klindamisin, azitromisin, rifampisin</w:t>
            </w:r>
          </w:p>
        </w:tc>
        <w:tc>
          <w:tcPr>
            <w:tcW w:type="dxa" w:w="27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Kurangi dosis metronidazol pada sirosis berat; monitor LFT</w:t>
            </w:r>
          </w:p>
        </w:tc>
      </w:tr>
      <w:tr>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Kehamilan</w:t>
            </w:r>
          </w:p>
        </w:tc>
        <w:tc>
          <w:tcPr>
            <w:tcW w:type="dxa" w:w="2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Hindari: fluorokuinolon, tetrasiklin (trimester I-III), kloramfenikol (trimester III), metronidazol (trimester I relatif)</w:t>
            </w:r>
          </w:p>
        </w:tc>
        <w:tc>
          <w:tcPr>
            <w:tcW w:type="dxa" w:w="27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Pilihan aman: amoksisilin, sefalosporin, eritromisin (kecuali estolat), klindamisin, nitrofurantoin (hindari trimester III)</w:t>
            </w:r>
          </w:p>
        </w:tc>
      </w:tr>
      <w:tr>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Obesitas</w:t>
            </w:r>
          </w:p>
        </w:tc>
        <w:tc>
          <w:tcPr>
            <w:tcW w:type="dxa" w:w="2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Distribusi volume yang berubah; dosis berbasis berat badan aktual vs ideal berbeda per kelas antibiotik</w:t>
            </w:r>
          </w:p>
        </w:tc>
        <w:tc>
          <w:tcPr>
            <w:tcW w:type="dxa" w:w="27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Aminoglikosida: gunakan adjusted BW. Vankomisin: dosis berbasis total BW.</w:t>
            </w:r>
          </w:p>
        </w:tc>
      </w:tr>
    </w:tbl>
    <w:p>
      <w:pPr>
        <w:pageBreakBefore/>
        <w:spacing w:after="20" w:before="0"/>
      </w:pPr>
      <w:r>
        <w:rPr>
          <w:rFonts w:ascii="Arial" w:cs="Arial" w:eastAsia="Arial" w:hAnsi="Arial"/>
          <w:b/>
          <w:bCs/>
          <w:i w:val="false"/>
          <w:iCs w:val="false"/>
          <w:color w:val="7D3C98"/>
          <w:sz w:val="20"/>
          <w:szCs w:val="20"/>
        </w:rPr>
        <w:t xml:space="preserve">BAB 4</w:t>
      </w:r>
    </w:p>
    <w:p>
      <w:pPr>
        <w:pStyle w:val="Heading1"/>
        <w:spacing w:after="100" w:before="0"/>
      </w:pPr>
      <w:r>
        <w:rPr>
          <w:rFonts w:ascii="Arial" w:cs="Arial" w:eastAsia="Arial" w:hAnsi="Arial"/>
          <w:b/>
          <w:bCs/>
          <w:i w:val="false"/>
          <w:iCs w:val="false"/>
          <w:color w:val="4A235A"/>
          <w:sz w:val="28"/>
          <w:szCs w:val="28"/>
        </w:rPr>
        <w:t xml:space="preserve">DOSIS OPTIMAL: DASAR PK/PD UNTUK KLINISI</w:t>
      </w:r>
    </w:p>
    <w:p>
      <w:pPr>
        <w:pBdr>
          <w:bottom w:val="single" w:color="7D3C98"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7D3C98"/>
          <w:sz w:val="24"/>
          <w:szCs w:val="24"/>
        </w:rPr>
        <w:t xml:space="preserve">4.1 Dua Tipe Utama Antibiotik berdasarkan PK/PD</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Efektivitas antibiotik tidak hanya ditentukan oleh apakah patogen "sensitif" di lab, tetapi juga oleh bagaimana konsentrasi antibiotik berhubungan dengan MIC (Minimum Inhibitory Concentration) patogen dalam tubuh pasien. Terdapat dua tipe utama:</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400"/>
        <w:gridCol w:w="2100"/>
        <w:gridCol w:w="2000"/>
        <w:gridCol w:w="1189"/>
      </w:tblGrid>
      <w:tr>
        <w:trPr>
          <w:tblHeader/>
        </w:trPr>
        <w:tc>
          <w:tcPr>
            <w:tcW w:type="dxa" w:w="14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Tipe PK/PD</w:t>
            </w:r>
          </w:p>
        </w:tc>
        <w:tc>
          <w:tcPr>
            <w:tcW w:type="dxa" w:w="21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Parameter Kritis</w:t>
            </w:r>
          </w:p>
        </w:tc>
        <w:tc>
          <w:tcPr>
            <w:tcW w:type="dxa" w:w="20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Implikasi Dosis Klinik</w:t>
            </w:r>
          </w:p>
        </w:tc>
        <w:tc>
          <w:tcPr>
            <w:tcW w:type="dxa" w:w="11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Contoh Antibiotik</w:t>
            </w:r>
          </w:p>
        </w:tc>
      </w:tr>
      <w:tr>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Time-Dependent</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 &gt; MIC)</w:t>
            </w:r>
          </w:p>
        </w:tc>
        <w:tc>
          <w:tcPr>
            <w:tcW w:type="dxa" w:w="21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%T &gt; MIC = persentase waktu dosis kadar obat di atas MIC</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Target: 40-100% interval dosis (tergantung kelas)</w:t>
            </w:r>
          </w:p>
        </w:tc>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Berikan lebih sering atau dalam infus diperpanjang (extended infusion); BUKAN dosis tunggal besar.</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Beta-laktam 3g/hr lebih baik dibagi 4x tapi bukan 1x3g</w:t>
            </w:r>
          </w:p>
        </w:tc>
        <w:tc>
          <w:tcPr>
            <w:tcW w:type="dxa" w:w="11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Semua beta-laktam:</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 Penisilin</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 Sefalosporin</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 Karbapenem</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 Aztreonam</w:t>
            </w:r>
          </w:p>
        </w:tc>
      </w:tr>
      <w:tr>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Concentration-Dependent</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(Cmax/MIC atau AUC/MIC)</w:t>
            </w:r>
          </w:p>
        </w:tc>
        <w:tc>
          <w:tcPr>
            <w:tcW w:type="dxa" w:w="21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Efek bakterisidal tergantung pada konsentrasi puncak (Cmax) yang jauh melebihi MIC</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Target: Cmax/MIC &gt; 8-10</w:t>
            </w:r>
          </w:p>
        </w:tc>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Dosis besar sekali sehari lebih baik dari dosis kecil berkali-kali.</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Once-daily aminoglycosides terbukti sama efektif, lebih aman.</w:t>
            </w:r>
          </w:p>
        </w:tc>
        <w:tc>
          <w:tcPr>
            <w:tcW w:type="dxa" w:w="11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Aminoglikosida:</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 Amikacin</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 Gentamisin</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Fluorokuinolon:</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 Ciprofloxacin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 Levofloxacin</w:t>
            </w:r>
          </w:p>
        </w:tc>
      </w:tr>
    </w:tbl>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7D3C98" w:sz="1"/>
              <w:left w:val="single" w:color="7D3C98" w:sz="1"/>
              <w:bottom w:val="single" w:color="7D3C98" w:sz="1"/>
              <w:right w:val="single" w:color="7D3C98" w:sz="1"/>
            </w:tcBorders>
            <w:shd w:fill="EBF5FB"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Implikasi Praktis:</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1. Jangan kurangi frekuensi beta-laktam (misal: ceftriaxon 1g 1x vs 2x). Bagi bila perlu.</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2. Aminoglikosida BOLEH diberikan once-daily (amikacin 15-20 mg/kgBB 1x/hari).</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3. Extended infusion carbapenem (misal meropenem 3g/hari dibagi 3x selama 3 jam/infus)</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   meningkatkan %T&gt;MIC pada infeksi MDR — tanyakan ke apoteker klinis.</w:t>
            </w:r>
          </w:p>
        </w:tc>
      </w:tr>
    </w:tbl>
    <w:p>
      <w:pPr>
        <w:pStyle w:val="Heading2"/>
        <w:spacing w:after="100" w:before="200"/>
      </w:pPr>
      <w:r>
        <w:rPr>
          <w:rFonts w:ascii="Arial" w:cs="Arial" w:eastAsia="Arial" w:hAnsi="Arial"/>
          <w:b/>
          <w:bCs/>
          <w:i w:val="false"/>
          <w:iCs w:val="false"/>
          <w:color w:val="7D3C98"/>
          <w:sz w:val="24"/>
          <w:szCs w:val="24"/>
        </w:rPr>
        <w:t xml:space="preserve">4.2 Penyesuaian Dosis pada Gangguan Fungsi Ginjal</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Klirens Kreatinin (CrCl) menentukan eliminasi sebagian besar antibiotik. Hitung CrCl menggunakan rumus Cockcroft-Gault sebelum meresepkan pada pasien lansia, pasien kritis, atau CKD:</w:t>
      </w:r>
    </w:p>
    <w:p>
      <w:pPr>
        <w:spacing w:after="80" w:before="40" w:line="260"/>
        <w:jc w:val="both"/>
      </w:pPr>
      <w:r>
        <w:rPr>
          <w:rFonts w:ascii="Times New Roman" w:cs="Times New Roman" w:eastAsia="Times New Roman" w:hAnsi="Times New Roman"/>
          <w:b w:val="false"/>
          <w:bCs w:val="false"/>
          <w:i/>
          <w:iCs/>
          <w:color w:val="1A1A1A"/>
          <w:sz w:val="18"/>
          <w:szCs w:val="18"/>
        </w:rPr>
        <w:t xml:space="preserve">CrCl (mL/mnt) = [(140 - usia) x BB (kg)] / [72 x kreatinin serum (mg/dL)]  x 0,85 untuk wanita</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200"/>
        <w:gridCol w:w="1200"/>
        <w:gridCol w:w="1300"/>
        <w:gridCol w:w="1300"/>
        <w:gridCol w:w="1689"/>
      </w:tblGrid>
      <w:tr>
        <w:trPr>
          <w:tblHeader/>
        </w:trPr>
        <w:tc>
          <w:tcPr>
            <w:tcW w:type="dxa" w:w="12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Antibiotik</w:t>
            </w:r>
          </w:p>
        </w:tc>
        <w:tc>
          <w:tcPr>
            <w:tcW w:type="dxa" w:w="12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Dosis Normal</w:t>
            </w:r>
          </w:p>
        </w:tc>
        <w:tc>
          <w:tcPr>
            <w:tcW w:type="dxa" w:w="13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bCs/>
                <w:i w:val="false"/>
                <w:iCs w:val="false"/>
                <w:color w:val="1A1A1A"/>
                <w:sz w:val="16"/>
                <w:szCs w:val="16"/>
              </w:rPr>
              <w:t xml:space="preserve">CrCl 30-60</w:t>
            </w:r>
          </w:p>
          <w:p>
            <w:pPr>
              <w:spacing w:after="0" w:before="0" w:line="220"/>
              <w:jc w:val="left"/>
            </w:pPr>
            <w:r>
              <w:rPr>
                <w:rFonts w:ascii="Times New Roman" w:cs="Times New Roman" w:eastAsia="Times New Roman" w:hAnsi="Times New Roman"/>
                <w:b/>
                <w:bCs/>
                <w:i w:val="false"/>
                <w:iCs w:val="false"/>
                <w:color w:val="1A1A1A"/>
                <w:sz w:val="16"/>
                <w:szCs w:val="16"/>
              </w:rPr>
              <w:t xml:space="preserve">(CKD Sedang)</w:t>
            </w:r>
          </w:p>
        </w:tc>
        <w:tc>
          <w:tcPr>
            <w:tcW w:type="dxa" w:w="13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bCs/>
                <w:i w:val="false"/>
                <w:iCs w:val="false"/>
                <w:color w:val="1A1A1A"/>
                <w:sz w:val="16"/>
                <w:szCs w:val="16"/>
              </w:rPr>
              <w:t xml:space="preserve">CrCl &lt; 30</w:t>
            </w:r>
          </w:p>
          <w:p>
            <w:pPr>
              <w:spacing w:after="0" w:before="0" w:line="220"/>
              <w:jc w:val="left"/>
            </w:pPr>
            <w:r>
              <w:rPr>
                <w:rFonts w:ascii="Times New Roman" w:cs="Times New Roman" w:eastAsia="Times New Roman" w:hAnsi="Times New Roman"/>
                <w:b/>
                <w:bCs/>
                <w:i w:val="false"/>
                <w:iCs w:val="false"/>
                <w:color w:val="1A1A1A"/>
                <w:sz w:val="16"/>
                <w:szCs w:val="16"/>
              </w:rPr>
              <w:t xml:space="preserve">(CKD Berat)</w:t>
            </w:r>
          </w:p>
        </w:tc>
        <w:tc>
          <w:tcPr>
            <w:tcW w:type="dxa" w:w="16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Catatan Khusus</w:t>
            </w:r>
          </w:p>
        </w:tc>
      </w:tr>
      <w:tr>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Amoksisilin</w:t>
            </w:r>
          </w:p>
        </w:tc>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500 mg 3x/hr PO</w:t>
            </w:r>
          </w:p>
        </w:tc>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perlu penyesuaian</w:t>
            </w:r>
          </w:p>
        </w:tc>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500 mg 2x/hr</w:t>
            </w:r>
          </w:p>
        </w:tc>
        <w:tc>
          <w:tcPr>
            <w:tcW w:type="dxa" w:w="1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t>
            </w:r>
          </w:p>
        </w:tc>
      </w:tr>
      <w:tr>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Ko-trimoksazol</w:t>
            </w:r>
          </w:p>
        </w:tc>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960 mg 2x/hr</w:t>
            </w:r>
          </w:p>
        </w:tc>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perlu penyesuaian</w:t>
            </w:r>
          </w:p>
        </w:tc>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Hindari atau dosis 1/2</w:t>
            </w:r>
          </w:p>
        </w:tc>
        <w:tc>
          <w:tcPr>
            <w:tcW w:type="dxa" w:w="1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Risiko hiperkalemia CKD berat</w:t>
            </w:r>
          </w:p>
        </w:tc>
      </w:tr>
      <w:tr>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Ceftriaxon</w:t>
            </w:r>
          </w:p>
        </w:tc>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1-2 g/hr IV</w:t>
            </w:r>
          </w:p>
        </w:tc>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perlu</w:t>
            </w:r>
          </w:p>
        </w:tc>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perlu</w:t>
            </w:r>
          </w:p>
        </w:tc>
        <w:tc>
          <w:tcPr>
            <w:tcW w:type="dxa" w:w="1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Eliminasi ginjal + bilier</w:t>
            </w:r>
          </w:p>
        </w:tc>
      </w:tr>
      <w:tr>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Ciprofloxacin</w:t>
            </w:r>
          </w:p>
        </w:tc>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400 mg 2x/hr IV</w:t>
            </w:r>
          </w:p>
        </w:tc>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400 mg 2x/hr</w:t>
            </w:r>
          </w:p>
        </w:tc>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400 mg 1x/hr</w:t>
            </w:r>
          </w:p>
        </w:tc>
        <w:tc>
          <w:tcPr>
            <w:tcW w:type="dxa" w:w="1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Monitor toksisitas tendon</w:t>
            </w:r>
          </w:p>
        </w:tc>
      </w:tr>
      <w:tr>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Metronidazol</w:t>
            </w:r>
          </w:p>
        </w:tc>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500 mg 3x/hr IV/PO</w:t>
            </w:r>
          </w:p>
        </w:tc>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perlu</w:t>
            </w:r>
          </w:p>
        </w:tc>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perlu</w:t>
            </w:r>
          </w:p>
        </w:tc>
        <w:tc>
          <w:tcPr>
            <w:tcW w:type="dxa" w:w="1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Eliminasi terutama hati</w:t>
            </w:r>
          </w:p>
        </w:tc>
      </w:tr>
      <w:tr>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Amikacin</w:t>
            </w:r>
          </w:p>
        </w:tc>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15-20 mg/kgBB/hr 1x</w:t>
            </w:r>
          </w:p>
        </w:tc>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Perpanjang interval:</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1x/24-36 jam</w:t>
            </w:r>
          </w:p>
        </w:tc>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Hindari atau TDM ketat</w:t>
            </w:r>
          </w:p>
        </w:tc>
        <w:tc>
          <w:tcPr>
            <w:tcW w:type="dxa" w:w="1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Nefrotoksik; monitor kreatinin dan urine output</w:t>
            </w:r>
          </w:p>
        </w:tc>
      </w:tr>
      <w:tr>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Nitrofurantoin</w:t>
            </w:r>
          </w:p>
        </w:tc>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100 mg 2x/hr PO</w:t>
            </w:r>
          </w:p>
        </w:tc>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Gunakan dengan hati-hati</w:t>
            </w:r>
          </w:p>
        </w:tc>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KONTRAINDIKASI</w:t>
            </w:r>
          </w:p>
        </w:tc>
        <w:tc>
          <w:tcPr>
            <w:tcW w:type="dxa" w:w="1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CrCl &lt; 45: tidak ada cukup konsentrasi urine</w:t>
            </w:r>
          </w:p>
        </w:tc>
      </w:tr>
    </w:tbl>
    <w:p>
      <w:pPr>
        <w:pStyle w:val="Heading2"/>
        <w:spacing w:after="100" w:before="200"/>
      </w:pPr>
      <w:r>
        <w:rPr>
          <w:rFonts w:ascii="Arial" w:cs="Arial" w:eastAsia="Arial" w:hAnsi="Arial"/>
          <w:b/>
          <w:bCs/>
          <w:i w:val="false"/>
          <w:iCs w:val="false"/>
          <w:color w:val="7D3C98"/>
          <w:sz w:val="24"/>
          <w:szCs w:val="24"/>
        </w:rPr>
        <w:t xml:space="preserve">4.3 Prinsip "Antibiotic Timeout" — Evaluasi Harian</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Setiap pasien rawat inap yang mendapat antibiotik harus dievaluasi setiap hari dengan pertanyaan berikut. Jawaban dicatat dalam rekam medis sebagai dokumentasi PGA.</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Pertanyaan Evaluasi Harian</w:t>
            </w:r>
          </w:p>
        </w:tc>
        <w:tc>
          <w:tcPr>
            <w:tcW w:type="dxa" w:w="46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Jika Jawaban "Ya"</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Apakah hasil kultur sudah tersedia?</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De-eskalasi ke antibiotik paling sempit yang sensitif (BAB 5)</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Apakah tidak ada pertumbuhan bakteri dan pasien membaik?</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Pertimbangkan stop antibiotik — apakah diagnosis infeksi masih valid?</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Apakah pasien sudah memenuhi kriteria IVOST?</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Konversi IV ke oral hari ini (BAB 6)</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Apakah durasi sudah mencapai minimum yang dianjurkan?</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Pertimbangkan stop setelah klinis membaik (BAB 7)</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Adakah efek samping yang muncul (nephrotox, C.diff, QTc)?</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Review antibiotik; pertimbangkan penggantian (BAB 9)</w:t>
            </w:r>
          </w:p>
        </w:tc>
      </w:tr>
    </w:tbl>
    <w:p>
      <w:pPr>
        <w:pageBreakBefore/>
        <w:spacing w:after="20" w:before="0"/>
      </w:pPr>
      <w:r>
        <w:rPr>
          <w:rFonts w:ascii="Arial" w:cs="Arial" w:eastAsia="Arial" w:hAnsi="Arial"/>
          <w:b/>
          <w:bCs/>
          <w:i w:val="false"/>
          <w:iCs w:val="false"/>
          <w:color w:val="7D3C98"/>
          <w:sz w:val="20"/>
          <w:szCs w:val="20"/>
        </w:rPr>
        <w:t xml:space="preserve">BAB 5</w:t>
      </w:r>
    </w:p>
    <w:p>
      <w:pPr>
        <w:pStyle w:val="Heading1"/>
        <w:spacing w:after="100" w:before="0"/>
      </w:pPr>
      <w:r>
        <w:rPr>
          <w:rFonts w:ascii="Arial" w:cs="Arial" w:eastAsia="Arial" w:hAnsi="Arial"/>
          <w:b/>
          <w:bCs/>
          <w:i w:val="false"/>
          <w:iCs w:val="false"/>
          <w:color w:val="4A235A"/>
          <w:sz w:val="28"/>
          <w:szCs w:val="28"/>
        </w:rPr>
        <w:t xml:space="preserve">DE-ESKALASI DALAM 48-72 JAM: KEWAJIBAN DOKTER</w:t>
      </w:r>
    </w:p>
    <w:p>
      <w:pPr>
        <w:pBdr>
          <w:bottom w:val="single" w:color="7D3C98"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7D3C98"/>
          <w:sz w:val="24"/>
          <w:szCs w:val="24"/>
        </w:rPr>
        <w:t xml:space="preserve">5.1 Definisi dan Urgensi De-eskalasi</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De-eskalasi adalah perubahan antibiotik dari spektrum luas (empirik) ke spektrum lebih sempit yang masih efektif, berdasarkan hasil kultur dan uji kepekaan. Ini bukan sekadar "pilihan" — de-eskalasi adalah praktik klinis terbaik (best practice) yang direkomendasikan secara kuat oleh IDSA, WHO, SSC, dan diamanatkan dalam regulasi nasional (Permenkes 28/2021, STARKES 2024 Prognas 6.1).</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De-eskalasi yang tidak dilakukan tanpa alasan klinis yang terdokumentasi adalah kesalahan PGA yang dapat dicatat dalam audit Gyssens sebagai Kategori IVD (ada alternatif spektrum lebih sempit yang tersedia).</w:t>
      </w:r>
    </w:p>
    <w:p>
      <w:pPr>
        <w:pStyle w:val="Heading2"/>
        <w:spacing w:after="100" w:before="200"/>
      </w:pPr>
      <w:r>
        <w:rPr>
          <w:rFonts w:ascii="Arial" w:cs="Arial" w:eastAsia="Arial" w:hAnsi="Arial"/>
          <w:b/>
          <w:bCs/>
          <w:i w:val="false"/>
          <w:iCs w:val="false"/>
          <w:color w:val="7D3C98"/>
          <w:sz w:val="24"/>
          <w:szCs w:val="24"/>
        </w:rPr>
        <w:t xml:space="preserve">5.2 Langkah De-eskalasi Sistematis</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700"/>
        <w:gridCol w:w="3500"/>
        <w:gridCol w:w="1489"/>
      </w:tblGrid>
      <w:tr>
        <w:trPr>
          <w:tblHeader/>
        </w:trPr>
        <w:tc>
          <w:tcPr>
            <w:tcW w:type="dxa" w:w="7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Langkah</w:t>
            </w:r>
          </w:p>
        </w:tc>
        <w:tc>
          <w:tcPr>
            <w:tcW w:type="dxa" w:w="35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Tindakan Konkret</w:t>
            </w:r>
          </w:p>
        </w:tc>
        <w:tc>
          <w:tcPr>
            <w:tcW w:type="dxa" w:w="14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Waktu</w:t>
            </w:r>
          </w:p>
        </w:tc>
      </w:tr>
      <w:tr>
        <w:tc>
          <w:tcPr>
            <w:tcW w:type="dxa" w:w="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 Review hasil kultur</w:t>
            </w:r>
          </w:p>
        </w:tc>
        <w:tc>
          <w:tcPr>
            <w:tcW w:type="dxa" w:w="3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Cek laporan mikro: nama patogen, profil sensitivitas antibiotik per kelas. Hubungi lab jika belum ada.</w:t>
            </w:r>
          </w:p>
        </w:tc>
        <w:tc>
          <w:tcPr>
            <w:tcW w:type="dxa" w:w="14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Hari ke-2 sampai ke-3</w:t>
            </w:r>
          </w:p>
        </w:tc>
      </w:tr>
      <w:tr>
        <w:tc>
          <w:tcPr>
            <w:tcW w:type="dxa" w:w="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2. Nilai respons klinis</w:t>
            </w:r>
          </w:p>
        </w:tc>
        <w:tc>
          <w:tcPr>
            <w:tcW w:type="dxa" w:w="3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Apakah demam menurun? Leukosit membaik? Parameter infeksi (CRP/PCT) tren turun?</w:t>
            </w:r>
          </w:p>
        </w:tc>
        <w:tc>
          <w:tcPr>
            <w:tcW w:type="dxa" w:w="14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Bersamaan</w:t>
            </w:r>
          </w:p>
        </w:tc>
      </w:tr>
      <w:tr>
        <w:tc>
          <w:tcPr>
            <w:tcW w:type="dxa" w:w="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3. Identifikasi antibiotik optimal</w:t>
            </w:r>
          </w:p>
        </w:tc>
        <w:tc>
          <w:tcPr>
            <w:tcW w:type="dxa" w:w="3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Pilih antibiotik paling sempit spektrumnya yang tertulis "Sensitif (S)" di laporan kultur</w:t>
            </w:r>
          </w:p>
        </w:tc>
        <w:tc>
          <w:tcPr>
            <w:tcW w:type="dxa" w:w="14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Bersamaan</w:t>
            </w:r>
          </w:p>
        </w:tc>
      </w:tr>
      <w:tr>
        <w:tc>
          <w:tcPr>
            <w:tcW w:type="dxa" w:w="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4. Hentikan yang tidak perlu</w:t>
            </w:r>
          </w:p>
        </w:tc>
        <w:tc>
          <w:tcPr>
            <w:tcW w:type="dxa" w:w="3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Jika empirik mencakup 2-3 antibiotik, hentikan yang tidak aktif terhadap patogen teridentifikasi</w:t>
            </w:r>
          </w:p>
        </w:tc>
        <w:tc>
          <w:tcPr>
            <w:tcW w:type="dxa" w:w="14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Segera setelah langkah 3</w:t>
            </w:r>
          </w:p>
        </w:tc>
      </w:tr>
      <w:tr>
        <w:tc>
          <w:tcPr>
            <w:tcW w:type="dxa" w:w="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5. Dokumentasikan dalam RM</w:t>
            </w:r>
          </w:p>
        </w:tc>
        <w:tc>
          <w:tcPr>
            <w:tcW w:type="dxa" w:w="3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Tulis justifikasi: "De-eskalasi dari ceftriaxon ke amoksisilin oral berdasarkan kultur E. coli sensitif amoksisilin, pasien membaik"</w:t>
            </w:r>
          </w:p>
        </w:tc>
        <w:tc>
          <w:tcPr>
            <w:tcW w:type="dxa" w:w="14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Sebelum implementasi</w:t>
            </w:r>
          </w:p>
        </w:tc>
      </w:tr>
      <w:tr>
        <w:tc>
          <w:tcPr>
            <w:tcW w:type="dxa" w:w="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6. Tindaklanjuti rekomendasi apoteker</w:t>
            </w:r>
          </w:p>
        </w:tc>
        <w:tc>
          <w:tcPr>
            <w:tcW w:type="dxa" w:w="3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Apoteker klinis mungkin sudah memberi rekomendasi tertulis. Respons secara tertulis dalam RM (setuju/tidak setuju dengan alasan)</w:t>
            </w:r>
          </w:p>
        </w:tc>
        <w:tc>
          <w:tcPr>
            <w:tcW w:type="dxa" w:w="14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Dalam 24 jam rekomendasi</w:t>
            </w:r>
          </w:p>
        </w:tc>
      </w:tr>
    </w:tbl>
    <w:p>
      <w:pPr>
        <w:pStyle w:val="Heading2"/>
        <w:spacing w:after="100" w:before="200"/>
      </w:pPr>
      <w:r>
        <w:rPr>
          <w:rFonts w:ascii="Arial" w:cs="Arial" w:eastAsia="Arial" w:hAnsi="Arial"/>
          <w:b/>
          <w:bCs/>
          <w:i w:val="false"/>
          <w:iCs w:val="false"/>
          <w:color w:val="7D3C98"/>
          <w:sz w:val="24"/>
          <w:szCs w:val="24"/>
        </w:rPr>
        <w:t xml:space="preserve">5.3 Cara Membaca Laporan Kultur untuk De-eskalasi</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Laporan sensitivitas antibiotik menggunakan kategori klinis: S = Susceptible (Sensitif), I = Intermediate, R = Resistant (Resisten). Sejak 2019, EUCAST menambahkan I = "Susceptible, Increased Exposure" yang berarti sensitif jika dosis ditingkatkan atau diberi di lokasi konsentrasi tinggi.</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Laporan Kultur</w:t>
            </w:r>
          </w:p>
        </w:tc>
        <w:tc>
          <w:tcPr>
            <w:tcW w:type="dxa" w:w="46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Interpretasi dan Tindakan Klinis</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Tumbuh E. coli</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Amoksisilin: S</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Co-trimoksazol: S</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Ciprofloxacin: S</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Ceftriaxon: S</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DE-ESKALASI: pilih amoksisilin PO 500mg 3x/hari — paling sempit, ACCESS, murah.</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Jangan gunakan ceftriaxon (WATCH) atau ciprofloxacin (WATCH) jika amoksisilin sensitif.</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Tumbuh K. pneumoniae</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Amoksisilin: R</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Ceftriaxon: R (ESBL+)</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Piperasilin-tazo: S</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Ertapenem: S</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ESBL dicurigai. Piperasilin-tazo bisa digunakan jika MIC &lt; 8 dan infeksi tidak berat.</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Ertapenem adalah pilihan untuk infeksi berat ESBL. Laporkan ke Tim PRA — ini kasus MDR.</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Tidak ada pertumbuhan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(No growth in 48-72 jam)</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Dua kemungkinan: (1) antibiotik sudah diberikan sebelum kultur — hasil mungkin tidak valid. (2) Benar tidak ada bakteri — re-evaluasi diagnosis infeksi bakteri. Pertimbangkan penghentian antibiotik.</w:t>
            </w:r>
          </w:p>
        </w:tc>
      </w:tr>
    </w:tbl>
    <w:p>
      <w:pPr>
        <w:pStyle w:val="Heading2"/>
        <w:spacing w:after="100" w:before="200"/>
      </w:pPr>
      <w:r>
        <w:rPr>
          <w:rFonts w:ascii="Arial" w:cs="Arial" w:eastAsia="Arial" w:hAnsi="Arial"/>
          <w:b/>
          <w:bCs/>
          <w:i w:val="false"/>
          <w:iCs w:val="false"/>
          <w:color w:val="7D3C98"/>
          <w:sz w:val="24"/>
          <w:szCs w:val="24"/>
        </w:rPr>
        <w:t xml:space="preserve">5.4 Hambatan Umum De-eskalasi dan Cara Mengatasinya</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Hambatan</w:t>
            </w:r>
          </w:p>
        </w:tc>
        <w:tc>
          <w:tcPr>
            <w:tcW w:type="dxa" w:w="46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Solusi Klinis</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Takut kegagalan terapi jika diganti</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Data menunjukkan de-eskalasi tidak meningkatkan mortalitas atau gagal terapi pada pasien yang respons klinis baik (Cochrane, Davey et al. 2017). Pastikan monitoring klinis ketat setelah de-eskalasi.</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ada waktu review kultur</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"Antibiotic timeout" harian cukup 2 menit — jadikan kebiasaan saat visit pagi. Apoteker klinis dapat membantu dengan notifikasi proaktif.</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Laporan kultur "intermediate"</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Obat dengan kategori I bisa tetap efektif jika dosis ditingkatkan atau pasien menerima terapi IV. Diskusikan dengan apoteker klinis tentang dosis optimal.</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Kultur tidak tersedia / tidak dikirim</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Ini masalah sistem — laporkan ke Tim PRA. Sebagai jembatan: de-eskalasi berdasarkan antibiogram lokal + perbaikan klinis.</w:t>
            </w:r>
          </w:p>
        </w:tc>
      </w:tr>
    </w:tbl>
    <w:p>
      <w:pPr>
        <w:pageBreakBefore/>
        <w:spacing w:after="20" w:before="0"/>
      </w:pPr>
      <w:r>
        <w:rPr>
          <w:rFonts w:ascii="Arial" w:cs="Arial" w:eastAsia="Arial" w:hAnsi="Arial"/>
          <w:b/>
          <w:bCs/>
          <w:i w:val="false"/>
          <w:iCs w:val="false"/>
          <w:color w:val="7D3C98"/>
          <w:sz w:val="20"/>
          <w:szCs w:val="20"/>
        </w:rPr>
        <w:t xml:space="preserve">BAB 6</w:t>
      </w:r>
    </w:p>
    <w:p>
      <w:pPr>
        <w:pStyle w:val="Heading1"/>
        <w:spacing w:after="100" w:before="0"/>
      </w:pPr>
      <w:r>
        <w:rPr>
          <w:rFonts w:ascii="Arial" w:cs="Arial" w:eastAsia="Arial" w:hAnsi="Arial"/>
          <w:b/>
          <w:bCs/>
          <w:i w:val="false"/>
          <w:iCs w:val="false"/>
          <w:color w:val="4A235A"/>
          <w:sz w:val="28"/>
          <w:szCs w:val="28"/>
        </w:rPr>
        <w:t xml:space="preserve">KONVERSI IV KE ORAL (IVOST)</w:t>
      </w:r>
    </w:p>
    <w:p>
      <w:pPr>
        <w:pBdr>
          <w:bottom w:val="single" w:color="7D3C98"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7D3C98"/>
          <w:sz w:val="24"/>
          <w:szCs w:val="24"/>
        </w:rPr>
        <w:t xml:space="preserve">6.1 Kriteria IVOST</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Konversi IV ke Oral (IV-to-Oral Switch Therapy / IVOST) harus dilakukan sesegera mungkin jika SEMUA kriteria berikut terpenuhi. IVOST adalah standar PGA — bukan pemanjaan, bukan pemotongan terapi.</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Kriteria</w:t>
            </w:r>
          </w:p>
        </w:tc>
        <w:tc>
          <w:tcPr>
            <w:tcW w:type="dxa" w:w="46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Parameter Konkret</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demam &gt;= 24 jam</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Suhu aksila/rektal &lt; 37,8°C selama minimal 24 jam berturut-turut tanpa antipiretik</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Tanda vital stabil</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TD sistolik &gt; 90 mmHg, nadi &lt; 100/mnt, napas &lt; 20/mnt, SpO2 &gt; 95% tanpa O2 tambahan</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GI tract berfungsi</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Dapat menelan, tidak ada ileus, tidak mual/muntah persisten, tidak ada malabsorpsi</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Penanda infeksi membaik</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Leukosit tren turun, CRP/PCT turun, tidak ada tanda perburukan klinis baru</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Tersedia formulasi oral</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Antibiotik oral dengan bioavailabilitas &gt;= 80% tersedia di formularium RS (lihat tabel 6.2)</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ada indikasi khusus IV</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Bukan deep-seated infection (endokarditis, osteomielitis fase akut, abses otak) yang mensyaratkan IV lebih lama</w:t>
            </w:r>
          </w:p>
        </w:tc>
      </w:tr>
    </w:tbl>
    <w:p>
      <w:pPr>
        <w:pStyle w:val="Heading2"/>
        <w:spacing w:after="100" w:before="200"/>
      </w:pPr>
      <w:r>
        <w:rPr>
          <w:rFonts w:ascii="Arial" w:cs="Arial" w:eastAsia="Arial" w:hAnsi="Arial"/>
          <w:b/>
          <w:bCs/>
          <w:i w:val="false"/>
          <w:iCs w:val="false"/>
          <w:color w:val="7D3C98"/>
          <w:sz w:val="24"/>
          <w:szCs w:val="24"/>
        </w:rPr>
        <w:t xml:space="preserve">6.2 Antibiotik dengan Bioavailabilitas Oral Tinggi (&gt;= 80%)</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Antibiotik berikut memiliki bioavailabilitas oral yang cukup tinggi sehingga kadar darah dari rute oral hampir setara dengan rute IV — ideal untuk IVOST:</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000"/>
        <w:gridCol w:w="2000"/>
        <w:gridCol w:w="1800"/>
        <w:gridCol w:w="1889"/>
      </w:tblGrid>
      <w:tr>
        <w:trPr>
          <w:tblHeader/>
        </w:trPr>
        <w:tc>
          <w:tcPr>
            <w:tcW w:type="dxa" w:w="10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Antibiotik</w:t>
            </w:r>
          </w:p>
        </w:tc>
        <w:tc>
          <w:tcPr>
            <w:tcW w:type="dxa" w:w="20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Bioavailabilitas Oral</w:t>
            </w:r>
          </w:p>
        </w:tc>
        <w:tc>
          <w:tcPr>
            <w:tcW w:type="dxa" w:w="18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Dosis Oral Setara</w:t>
            </w:r>
          </w:p>
        </w:tc>
        <w:tc>
          <w:tcPr>
            <w:tcW w:type="dxa" w:w="18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AWaRe</w:t>
            </w:r>
          </w:p>
        </w:tc>
      </w:tr>
      <w:tr>
        <w:tc>
          <w:tcPr>
            <w:tcW w:type="dxa" w:w="1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Siprofloksasin (Ciprofloxacin)</w:t>
            </w:r>
          </w:p>
        </w:tc>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70-80%</w:t>
            </w:r>
          </w:p>
        </w:tc>
        <w:tc>
          <w:tcPr>
            <w:tcW w:type="dxa" w:w="18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IV 400mg 2x = PO 500mg 2x</w:t>
            </w:r>
          </w:p>
        </w:tc>
        <w:tc>
          <w:tcPr>
            <w:tcW w:type="dxa" w:w="1889"/>
            <w:tcBorders>
              <w:top w:val="single" w:color="CBA4D0" w:sz="1"/>
              <w:left w:val="single" w:color="CBA4D0" w:sz="1"/>
              <w:bottom w:val="single" w:color="CBA4D0" w:sz="1"/>
              <w:right w:val="single" w:color="CBA4D0" w:sz="1"/>
            </w:tcBorders>
            <w:shd w:fill="FBE9E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WATCH</w:t>
            </w:r>
          </w:p>
        </w:tc>
      </w:tr>
      <w:tr>
        <w:tc>
          <w:tcPr>
            <w:tcW w:type="dxa" w:w="1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Levofloxacin</w:t>
            </w:r>
          </w:p>
        </w:tc>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99%</w:t>
            </w:r>
          </w:p>
        </w:tc>
        <w:tc>
          <w:tcPr>
            <w:tcW w:type="dxa" w:w="18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IV 500mg 1x = PO 500mg 1x</w:t>
            </w:r>
          </w:p>
        </w:tc>
        <w:tc>
          <w:tcPr>
            <w:tcW w:type="dxa" w:w="1889"/>
            <w:tcBorders>
              <w:top w:val="single" w:color="CBA4D0" w:sz="1"/>
              <w:left w:val="single" w:color="CBA4D0" w:sz="1"/>
              <w:bottom w:val="single" w:color="CBA4D0" w:sz="1"/>
              <w:right w:val="single" w:color="CBA4D0" w:sz="1"/>
            </w:tcBorders>
            <w:shd w:fill="FBE9E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WATCH</w:t>
            </w:r>
          </w:p>
        </w:tc>
      </w:tr>
      <w:tr>
        <w:tc>
          <w:tcPr>
            <w:tcW w:type="dxa" w:w="1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Metronidazol</w:t>
            </w:r>
          </w:p>
        </w:tc>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&gt; 95%</w:t>
            </w:r>
          </w:p>
        </w:tc>
        <w:tc>
          <w:tcPr>
            <w:tcW w:type="dxa" w:w="18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IV 500mg 3x = PO 500mg 3x</w:t>
            </w:r>
          </w:p>
        </w:tc>
        <w:tc>
          <w:tcPr>
            <w:tcW w:type="dxa" w:w="1889"/>
            <w:tcBorders>
              <w:top w:val="single" w:color="CBA4D0" w:sz="1"/>
              <w:left w:val="single" w:color="CBA4D0" w:sz="1"/>
              <w:bottom w:val="single" w:color="CBA4D0" w:sz="1"/>
              <w:right w:val="single" w:color="CBA4D0"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w:t>
            </w:r>
          </w:p>
        </w:tc>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87-90%</w:t>
            </w:r>
          </w:p>
        </w:tc>
        <w:tc>
          <w:tcPr>
            <w:tcW w:type="dxa" w:w="18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IV 600mg 3x = PO 300-450mg 4x</w:t>
            </w:r>
          </w:p>
        </w:tc>
        <w:tc>
          <w:tcPr>
            <w:tcW w:type="dxa" w:w="1889"/>
            <w:tcBorders>
              <w:top w:val="single" w:color="CBA4D0" w:sz="1"/>
              <w:left w:val="single" w:color="CBA4D0" w:sz="1"/>
              <w:bottom w:val="single" w:color="CBA4D0" w:sz="1"/>
              <w:right w:val="single" w:color="CBA4D0"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Doksisiklin</w:t>
            </w:r>
          </w:p>
        </w:tc>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93%</w:t>
            </w:r>
          </w:p>
        </w:tc>
        <w:tc>
          <w:tcPr>
            <w:tcW w:type="dxa" w:w="18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IV 200mg/hr = PO 100mg 2x</w:t>
            </w:r>
          </w:p>
        </w:tc>
        <w:tc>
          <w:tcPr>
            <w:tcW w:type="dxa" w:w="1889"/>
            <w:tcBorders>
              <w:top w:val="single" w:color="CBA4D0" w:sz="1"/>
              <w:left w:val="single" w:color="CBA4D0" w:sz="1"/>
              <w:bottom w:val="single" w:color="CBA4D0" w:sz="1"/>
              <w:right w:val="single" w:color="CBA4D0"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Amoksisilin-Klav</w:t>
            </w:r>
          </w:p>
        </w:tc>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75-90%</w:t>
            </w:r>
          </w:p>
        </w:tc>
        <w:tc>
          <w:tcPr>
            <w:tcW w:type="dxa" w:w="18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IV 1,2g 3x ~ PO 875+125mg 2x</w:t>
            </w:r>
          </w:p>
        </w:tc>
        <w:tc>
          <w:tcPr>
            <w:tcW w:type="dxa" w:w="1889"/>
            <w:tcBorders>
              <w:top w:val="single" w:color="CBA4D0" w:sz="1"/>
              <w:left w:val="single" w:color="CBA4D0" w:sz="1"/>
              <w:bottom w:val="single" w:color="CBA4D0" w:sz="1"/>
              <w:right w:val="single" w:color="CBA4D0"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Ko-trimoksazol (TMP-SMX)</w:t>
            </w:r>
          </w:p>
        </w:tc>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&gt; 90%</w:t>
            </w:r>
          </w:p>
        </w:tc>
        <w:tc>
          <w:tcPr>
            <w:tcW w:type="dxa" w:w="18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IV 960mg 2x = PO 960mg 2x</w:t>
            </w:r>
          </w:p>
        </w:tc>
        <w:tc>
          <w:tcPr>
            <w:tcW w:type="dxa" w:w="1889"/>
            <w:tcBorders>
              <w:top w:val="single" w:color="CBA4D0" w:sz="1"/>
              <w:left w:val="single" w:color="CBA4D0" w:sz="1"/>
              <w:bottom w:val="single" w:color="CBA4D0" w:sz="1"/>
              <w:right w:val="single" w:color="CBA4D0"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Flukonazol</w:t>
            </w:r>
          </w:p>
        </w:tc>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&gt; 95%</w:t>
            </w:r>
          </w:p>
        </w:tc>
        <w:tc>
          <w:tcPr>
            <w:tcW w:type="dxa" w:w="18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IV 400mg/hr = PO 400mg/hr</w:t>
            </w:r>
          </w:p>
        </w:tc>
        <w:tc>
          <w:tcPr>
            <w:tcW w:type="dxa" w:w="1889"/>
            <w:tcBorders>
              <w:top w:val="single" w:color="CBA4D0" w:sz="1"/>
              <w:left w:val="single" w:color="CBA4D0" w:sz="1"/>
              <w:bottom w:val="single" w:color="CBA4D0" w:sz="1"/>
              <w:right w:val="single" w:color="CBA4D0" w:sz="1"/>
            </w:tcBorders>
            <w:shd w:fill="FBE9E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WATCH</w:t>
            </w:r>
          </w:p>
        </w:tc>
      </w:tr>
      <w:tr>
        <w:tc>
          <w:tcPr>
            <w:tcW w:type="dxa" w:w="1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Linezolid</w:t>
            </w:r>
          </w:p>
        </w:tc>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100%</w:t>
            </w:r>
          </w:p>
        </w:tc>
        <w:tc>
          <w:tcPr>
            <w:tcW w:type="dxa" w:w="18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IV 600mg 2x = PO 600mg 2x</w:t>
            </w:r>
          </w:p>
        </w:tc>
        <w:tc>
          <w:tcPr>
            <w:tcW w:type="dxa" w:w="1889"/>
            <w:tcBorders>
              <w:top w:val="single" w:color="CBA4D0" w:sz="1"/>
              <w:left w:val="single" w:color="CBA4D0" w:sz="1"/>
              <w:bottom w:val="single" w:color="CBA4D0" w:sz="1"/>
              <w:right w:val="single" w:color="CBA4D0" w:sz="1"/>
            </w:tcBorders>
            <w:shd w:fill="FFEBEE"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RESERVE</w:t>
            </w:r>
          </w:p>
        </w:tc>
      </w:tr>
    </w:tbl>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7D3C98" w:sz="1"/>
              <w:left w:val="single" w:color="7D3C98" w:sz="1"/>
              <w:bottom w:val="single" w:color="7D3C98" w:sz="1"/>
              <w:right w:val="single" w:color="7D3C98" w:sz="1"/>
            </w:tcBorders>
            <w:shd w:fill="E8F5E9"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Manfaat IVOST yang terbukti: (1) Pasien dapat pulang lebih awal; (2) Risiko komplikasi</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infeksi jalur IV (flebitis, CLABSI) berkurang; (3) Biaya perawatan lebih rendah;</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(4) Kenyamanan pasien meningkat. Tidak ada bukti IVOST memperburuk outcome klinis</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pada pasien dengan kriteria terpenuhi (Li et al., Cochrane 2022).</w:t>
            </w:r>
          </w:p>
        </w:tc>
      </w:tr>
    </w:tbl>
    <w:p>
      <w:pPr>
        <w:pStyle w:val="Heading2"/>
        <w:spacing w:after="100" w:before="200"/>
      </w:pPr>
      <w:r>
        <w:rPr>
          <w:rFonts w:ascii="Arial" w:cs="Arial" w:eastAsia="Arial" w:hAnsi="Arial"/>
          <w:b/>
          <w:bCs/>
          <w:i w:val="false"/>
          <w:iCs w:val="false"/>
          <w:color w:val="7D3C98"/>
          <w:sz w:val="24"/>
          <w:szCs w:val="24"/>
        </w:rPr>
        <w:t xml:space="preserve">6.3 Infeksi yang TIDAK Dianjurkan untuk IVOST Dini</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Beberapa kondisi memerlukan terapi IV yang lebih lama sebelum IVOST dipertimbangkan:</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500"/>
        <w:gridCol w:w="2700"/>
        <w:gridCol w:w="2489"/>
      </w:tblGrid>
      <w:tr>
        <w:trPr>
          <w:tblHeader/>
        </w:trPr>
        <w:tc>
          <w:tcPr>
            <w:tcW w:type="dxa" w:w="15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Kondisi</w:t>
            </w:r>
          </w:p>
        </w:tc>
        <w:tc>
          <w:tcPr>
            <w:tcW w:type="dxa" w:w="27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Alasan</w:t>
            </w:r>
          </w:p>
        </w:tc>
        <w:tc>
          <w:tcPr>
            <w:tcW w:type="dxa" w:w="24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Durasi IV yang Dianjurkan</w:t>
            </w:r>
          </w:p>
        </w:tc>
      </w:tr>
      <w:tr>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Endokarditis infektif</w:t>
            </w:r>
          </w:p>
        </w:tc>
        <w:tc>
          <w:tcPr>
            <w:tcW w:type="dxa" w:w="2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Diperlukan konsentrasi darah yang konsisten tinggi untuk sterilisasi katup</w:t>
            </w:r>
          </w:p>
        </w:tc>
        <w:tc>
          <w:tcPr>
            <w:tcW w:type="dxa" w:w="24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Minimal 2-6 minggu IV (tergantung kuman dan katup)</w:t>
            </w:r>
          </w:p>
        </w:tc>
      </w:tr>
      <w:tr>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Osteomielitis akut</w:t>
            </w:r>
          </w:p>
        </w:tc>
        <w:tc>
          <w:tcPr>
            <w:tcW w:type="dxa" w:w="2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Infeksi tulang memerlukan penetrasi tinggi; data oral terbatas untuk fase akut</w:t>
            </w:r>
          </w:p>
        </w:tc>
        <w:tc>
          <w:tcPr>
            <w:tcW w:type="dxa" w:w="24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Minimal 2-4 minggu IV; oral dimulai jika klinis dan CRP sangat membaik</w:t>
            </w:r>
          </w:p>
        </w:tc>
      </w:tr>
      <w:tr>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Abses otak / meningitis bakterial berat</w:t>
            </w:r>
          </w:p>
        </w:tc>
        <w:tc>
          <w:tcPr>
            <w:tcW w:type="dxa" w:w="2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Perlu penetrasi SSP yang optimal; permeabilitas BBB bervariasi dengan sediaan oral</w:t>
            </w:r>
          </w:p>
        </w:tc>
        <w:tc>
          <w:tcPr>
            <w:tcW w:type="dxa" w:w="24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Minimal 10-14 hari IV; review case-by-case</w:t>
            </w:r>
          </w:p>
        </w:tc>
      </w:tr>
      <w:tr>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Febris neutropenia</w:t>
            </w:r>
          </w:p>
        </w:tc>
        <w:tc>
          <w:tcPr>
            <w:tcW w:type="dxa" w:w="2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Pasien imunosupresif berisiko tinggi; toleransi kegagalan terapi sangat rendah</w:t>
            </w:r>
          </w:p>
        </w:tc>
        <w:tc>
          <w:tcPr>
            <w:tcW w:type="dxa" w:w="24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IV hingga ANC &gt; 500/mm3 dan afebris &gt;= 48 jam</w:t>
            </w:r>
          </w:p>
        </w:tc>
      </w:tr>
    </w:tbl>
    <w:p>
      <w:pPr>
        <w:pageBreakBefore/>
        <w:spacing w:after="20" w:before="0"/>
      </w:pPr>
      <w:r>
        <w:rPr>
          <w:rFonts w:ascii="Arial" w:cs="Arial" w:eastAsia="Arial" w:hAnsi="Arial"/>
          <w:b/>
          <w:bCs/>
          <w:i w:val="false"/>
          <w:iCs w:val="false"/>
          <w:color w:val="7D3C98"/>
          <w:sz w:val="20"/>
          <w:szCs w:val="20"/>
        </w:rPr>
        <w:t xml:space="preserve">BAB 7</w:t>
      </w:r>
    </w:p>
    <w:p>
      <w:pPr>
        <w:pStyle w:val="Heading1"/>
        <w:spacing w:after="100" w:before="0"/>
      </w:pPr>
      <w:r>
        <w:rPr>
          <w:rFonts w:ascii="Arial" w:cs="Arial" w:eastAsia="Arial" w:hAnsi="Arial"/>
          <w:b/>
          <w:bCs/>
          <w:i w:val="false"/>
          <w:iCs w:val="false"/>
          <w:color w:val="4A235A"/>
          <w:sz w:val="28"/>
          <w:szCs w:val="28"/>
        </w:rPr>
        <w:t xml:space="preserve">DURASI TERAPI: "SHORTER IS BETTER"</w:t>
      </w:r>
    </w:p>
    <w:p>
      <w:pPr>
        <w:pBdr>
          <w:bottom w:val="single" w:color="7D3C98"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7D3C98"/>
          <w:sz w:val="24"/>
          <w:szCs w:val="24"/>
        </w:rPr>
        <w:t xml:space="preserve">7.1 Prinsip Ilmiah di Balik Durasi Lebih Pendek</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Penelitian terkini secara konsisten menunjukkan bahwa untuk sebagian besar infeksi bakteri tanpa komplikasi, durasi terapi yang lebih pendek sama efektifnya dengan yang lebih panjang, dengan keunggulan: (1) risiko efek samping lebih rendah, (2) risiko seleksi resistensi lebih rendah, (3) risiko C. difficile lebih rendah, (4) biaya lebih rendah, (5) pasien lebih cepat pulang.</w:t>
      </w:r>
    </w:p>
    <w:p>
      <w:pPr>
        <w:pStyle w:val="Heading2"/>
        <w:spacing w:after="100" w:before="200"/>
      </w:pPr>
      <w:r>
        <w:rPr>
          <w:rFonts w:ascii="Arial" w:cs="Arial" w:eastAsia="Arial" w:hAnsi="Arial"/>
          <w:b/>
          <w:bCs/>
          <w:i w:val="false"/>
          <w:iCs w:val="false"/>
          <w:color w:val="7D3C98"/>
          <w:sz w:val="24"/>
          <w:szCs w:val="24"/>
        </w:rPr>
        <w:t xml:space="preserve">7.2 Panduan Durasi Terapi Minimum per Kondisi</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700"/>
        <w:gridCol w:w="1400"/>
        <w:gridCol w:w="3589"/>
      </w:tblGrid>
      <w:tr>
        <w:trPr>
          <w:tblHeader/>
        </w:trPr>
        <w:tc>
          <w:tcPr>
            <w:tcW w:type="dxa" w:w="17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Diagnosis</w:t>
            </w:r>
          </w:p>
        </w:tc>
        <w:tc>
          <w:tcPr>
            <w:tcW w:type="dxa" w:w="14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bCs/>
                <w:i w:val="false"/>
                <w:iCs w:val="false"/>
                <w:color w:val="1A1A1A"/>
                <w:sz w:val="16"/>
                <w:szCs w:val="16"/>
              </w:rPr>
              <w:t xml:space="preserve">Durasi Minimum</w:t>
            </w:r>
          </w:p>
          <w:p>
            <w:pPr>
              <w:spacing w:after="0" w:before="0" w:line="220"/>
              <w:jc w:val="left"/>
            </w:pPr>
            <w:r>
              <w:rPr>
                <w:rFonts w:ascii="Times New Roman" w:cs="Times New Roman" w:eastAsia="Times New Roman" w:hAnsi="Times New Roman"/>
                <w:b/>
                <w:bCs/>
                <w:i w:val="false"/>
                <w:iCs w:val="false"/>
                <w:color w:val="1A1A1A"/>
                <w:sz w:val="16"/>
                <w:szCs w:val="16"/>
              </w:rPr>
              <w:t xml:space="preserve">yang Direkomendasikan</w:t>
            </w:r>
          </w:p>
        </w:tc>
        <w:tc>
          <w:tcPr>
            <w:tcW w:type="dxa" w:w="35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Catatan Kunci</w:t>
            </w:r>
          </w:p>
        </w:tc>
      </w:tr>
      <w:tr>
        <w:tc>
          <w:tcPr>
            <w:tcW w:type="dxa" w:w="1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ISK bawah tanpa komplikasi (wanita)</w:t>
            </w:r>
          </w:p>
        </w:tc>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3 hari (ko-trim/fosfomisin)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5-7 hari (beta-laktam oral)</w:t>
            </w:r>
          </w:p>
        </w:tc>
        <w:tc>
          <w:tcPr>
            <w:tcW w:type="dxa" w:w="35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Jangan berikan 7-14 hari secara rutin</w:t>
            </w:r>
          </w:p>
        </w:tc>
      </w:tr>
      <w:tr>
        <w:tc>
          <w:tcPr>
            <w:tcW w:type="dxa" w:w="1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ISK bawah (pria)</w:t>
            </w:r>
          </w:p>
        </w:tc>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7 hari</w:t>
            </w:r>
          </w:p>
        </w:tc>
        <w:tc>
          <w:tcPr>
            <w:tcW w:type="dxa" w:w="35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Evaluasi penyebab struktural jika rekuren</w:t>
            </w:r>
          </w:p>
        </w:tc>
      </w:tr>
      <w:tr>
        <w:tc>
          <w:tcPr>
            <w:tcW w:type="dxa" w:w="1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Pielonefritis tanpa komplikasi</w:t>
            </w:r>
          </w:p>
        </w:tc>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7 hari (jika fluorokuinolon sensitif)</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10-14 hari (beta-laktam)</w:t>
            </w:r>
          </w:p>
        </w:tc>
        <w:tc>
          <w:tcPr>
            <w:tcW w:type="dxa" w:w="35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Switch oral setelah afebris 24-48 jam</w:t>
            </w:r>
          </w:p>
        </w:tc>
      </w:tr>
      <w:tr>
        <w:tc>
          <w:tcPr>
            <w:tcW w:type="dxa" w:w="1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CAP ringan (rawat jalan)</w:t>
            </w:r>
          </w:p>
        </w:tc>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5 hari</w:t>
            </w:r>
          </w:p>
        </w:tc>
        <w:tc>
          <w:tcPr>
            <w:tcW w:type="dxa" w:w="35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perlu 10-14 hari; PCT memandu penghentian</w:t>
            </w:r>
          </w:p>
        </w:tc>
      </w:tr>
      <w:tr>
        <w:tc>
          <w:tcPr>
            <w:tcW w:type="dxa" w:w="1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CAP sedang-berat (rawat inap)</w:t>
            </w:r>
          </w:p>
        </w:tc>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7 hari</w:t>
            </w:r>
          </w:p>
        </w:tc>
        <w:tc>
          <w:tcPr>
            <w:tcW w:type="dxa" w:w="35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SSC: 7 hari non-inferior dengan 14 hari untuk CAP berat ICU</w:t>
            </w:r>
          </w:p>
        </w:tc>
      </w:tr>
      <w:tr>
        <w:tc>
          <w:tcPr>
            <w:tcW w:type="dxa" w:w="1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HAP / VAP tanpa komplikasi</w:t>
            </w:r>
          </w:p>
        </w:tc>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7 hari (8 hari jika P. aeruginosa)</w:t>
            </w:r>
          </w:p>
        </w:tc>
        <w:tc>
          <w:tcPr>
            <w:tcW w:type="dxa" w:w="35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De-eskalasi wajib setelah kultur</w:t>
            </w:r>
          </w:p>
        </w:tc>
      </w:tr>
      <w:tr>
        <w:tc>
          <w:tcPr>
            <w:tcW w:type="dxa" w:w="1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Sinusitis bakterial akut</w:t>
            </w:r>
          </w:p>
        </w:tc>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5-7 hari</w:t>
            </w:r>
          </w:p>
        </w:tc>
        <w:tc>
          <w:tcPr>
            <w:tcW w:type="dxa" w:w="35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perlu 14 hari</w:t>
            </w:r>
          </w:p>
        </w:tc>
      </w:tr>
      <w:tr>
        <w:tc>
          <w:tcPr>
            <w:tcW w:type="dxa" w:w="1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Faringitis GAS</w:t>
            </w:r>
          </w:p>
        </w:tc>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10 hari (penisilin/amoksisilin)</w:t>
            </w:r>
          </w:p>
        </w:tc>
        <w:tc>
          <w:tcPr>
            <w:tcW w:type="dxa" w:w="35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Jangan kurang dari 10 hari — risiko demam reumatik</w:t>
            </w:r>
          </w:p>
        </w:tc>
      </w:tr>
      <w:tr>
        <w:tc>
          <w:tcPr>
            <w:tcW w:type="dxa" w:w="1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Selulitis tanpa komplikasi</w:t>
            </w:r>
          </w:p>
        </w:tc>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5-7 hari</w:t>
            </w:r>
          </w:p>
        </w:tc>
        <w:tc>
          <w:tcPr>
            <w:tcW w:type="dxa" w:w="35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Lanjutkan jika belum membaik; tandai batas lesi</w:t>
            </w:r>
          </w:p>
        </w:tc>
      </w:tr>
      <w:tr>
        <w:tc>
          <w:tcPr>
            <w:tcW w:type="dxa" w:w="1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Apendisitis tidak terkomplikasi</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(profilaksis post-op)</w:t>
            </w:r>
          </w:p>
        </w:tc>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Maksimal 24 jam</w:t>
            </w:r>
          </w:p>
        </w:tc>
        <w:tc>
          <w:tcPr>
            <w:tcW w:type="dxa" w:w="35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BUKAN terapi; hentikan setelah operasi</w:t>
            </w:r>
          </w:p>
        </w:tc>
      </w:tr>
      <w:tr>
        <w:tc>
          <w:tcPr>
            <w:tcW w:type="dxa" w:w="1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Intra-abdominal (post source control)</w:t>
            </w:r>
          </w:p>
        </w:tc>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4 hari</w:t>
            </w:r>
          </w:p>
        </w:tc>
        <w:tc>
          <w:tcPr>
            <w:tcW w:type="dxa" w:w="35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Bila PCT membaik, bisa dihentikan lebih awal</w:t>
            </w:r>
          </w:p>
        </w:tc>
      </w:tr>
      <w:tr>
        <w:tc>
          <w:tcPr>
            <w:tcW w:type="dxa" w:w="1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Sepsis komunitas, fokus jelas</w:t>
            </w:r>
          </w:p>
        </w:tc>
        <w:tc>
          <w:tcPr>
            <w:tcW w:type="dxa" w:w="14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Minimal 7 hari</w:t>
            </w:r>
          </w:p>
        </w:tc>
        <w:tc>
          <w:tcPr>
            <w:tcW w:type="dxa" w:w="35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PCT panduan penghentian: PCT &lt; 0,25 ng/mL</w:t>
            </w:r>
          </w:p>
        </w:tc>
      </w:tr>
    </w:tbl>
    <w:p>
      <w:pPr>
        <w:pStyle w:val="Heading2"/>
        <w:spacing w:after="100" w:before="200"/>
      </w:pPr>
      <w:r>
        <w:rPr>
          <w:rFonts w:ascii="Arial" w:cs="Arial" w:eastAsia="Arial" w:hAnsi="Arial"/>
          <w:b/>
          <w:bCs/>
          <w:i w:val="false"/>
          <w:iCs w:val="false"/>
          <w:color w:val="7D3C98"/>
          <w:sz w:val="24"/>
          <w:szCs w:val="24"/>
        </w:rPr>
        <w:t xml:space="preserve">7.3 Biomarker sebagai Panduan Penghentian</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500"/>
        <w:gridCol w:w="2700"/>
        <w:gridCol w:w="2489"/>
      </w:tblGrid>
      <w:tr>
        <w:trPr>
          <w:tblHeader/>
        </w:trPr>
        <w:tc>
          <w:tcPr>
            <w:tcW w:type="dxa" w:w="15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Biomarker</w:t>
            </w:r>
          </w:p>
        </w:tc>
        <w:tc>
          <w:tcPr>
            <w:tcW w:type="dxa" w:w="27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Panduan Penggunaan</w:t>
            </w:r>
          </w:p>
        </w:tc>
        <w:tc>
          <w:tcPr>
            <w:tcW w:type="dxa" w:w="24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Ambang Batas</w:t>
            </w:r>
          </w:p>
        </w:tc>
      </w:tr>
      <w:tr>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Procalcitonin (PCT)</w:t>
            </w:r>
          </w:p>
        </w:tc>
        <w:tc>
          <w:tcPr>
            <w:tcW w:type="dxa" w:w="2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Dipandu oleh IDSA, SSC 2021/2026: PCT-guided antibiotic therapy mengurangi durasi tanpa meningkatkan mortalitas (Cochrane 2019). Panduan penghentian antibiotik pada infeksi saluran napas dan sepsis.</w:t>
            </w:r>
          </w:p>
        </w:tc>
        <w:tc>
          <w:tcPr>
            <w:tcW w:type="dxa" w:w="24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Stop AB jika PCT &lt; 0,25 ng/mL</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ATAU penurunan PCT &gt;= 80% dari nilai puncak</w:t>
            </w:r>
          </w:p>
        </w:tc>
      </w:tr>
      <w:tr>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C-Reactive Protein (CRP)</w:t>
            </w:r>
          </w:p>
        </w:tc>
        <w:tc>
          <w:tcPr>
            <w:tcW w:type="dxa" w:w="2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Penanda inflamasi yang lebih lambat dari PCT; berguna untuk tren monitoring. Kurang spesifik dari PCT.</w:t>
            </w:r>
          </w:p>
        </w:tc>
        <w:tc>
          <w:tcPr>
            <w:tcW w:type="dxa" w:w="24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Tren turun &gt; 50% dari puncak + afebris + klinis membaik = pertimbangkan stop</w:t>
            </w:r>
          </w:p>
        </w:tc>
      </w:tr>
      <w:tr>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Leukosit</w:t>
            </w:r>
          </w:p>
        </w:tc>
        <w:tc>
          <w:tcPr>
            <w:tcW w:type="dxa" w:w="2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Sederhana, tersedia di semua RS. Nilai absolute kurang akurat, tren lebih bermakna.</w:t>
            </w:r>
          </w:p>
        </w:tc>
        <w:tc>
          <w:tcPr>
            <w:tcW w:type="dxa" w:w="24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Leukosit &lt; 10.000/mm3 + afebris + perbaikan klinis</w:t>
            </w:r>
          </w:p>
        </w:tc>
      </w:tr>
    </w:tbl>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7D3C98" w:sz="1"/>
              <w:left w:val="single" w:color="7D3C98" w:sz="1"/>
              <w:bottom w:val="single" w:color="7D3C98" w:sz="1"/>
              <w:right w:val="single" w:color="7D3C98" w:sz="1"/>
            </w:tcBorders>
            <w:shd w:fill="E8F5E9"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Tip Praktis: Jika PCT tidak tersedia, gunakan kombinasi klinis:</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1. Pasien sudah tidak demam selama &gt;= 24 jam</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2. Leukosit tren menurun ke arah normal</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3. CRP turun &gt; 50% dari nilai puncak</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4. Tidak ada tanda klinis perburukan</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Jika SEMUA terpenuhi dan diagnosis infeksi bakterial tidak terkonfirmasi: stop antibiotik.</w:t>
            </w:r>
          </w:p>
        </w:tc>
      </w:tr>
    </w:tbl>
    <w:p>
      <w:pPr>
        <w:pageBreakBefore/>
        <w:spacing w:after="20" w:before="0"/>
      </w:pPr>
      <w:r>
        <w:rPr>
          <w:rFonts w:ascii="Arial" w:cs="Arial" w:eastAsia="Arial" w:hAnsi="Arial"/>
          <w:b/>
          <w:bCs/>
          <w:i w:val="false"/>
          <w:iCs w:val="false"/>
          <w:color w:val="7D3C98"/>
          <w:sz w:val="20"/>
          <w:szCs w:val="20"/>
        </w:rPr>
        <w:t xml:space="preserve">BAB 8</w:t>
      </w:r>
    </w:p>
    <w:p>
      <w:pPr>
        <w:pStyle w:val="Heading1"/>
        <w:spacing w:after="100" w:before="0"/>
      </w:pPr>
      <w:r>
        <w:rPr>
          <w:rFonts w:ascii="Arial" w:cs="Arial" w:eastAsia="Arial" w:hAnsi="Arial"/>
          <w:b/>
          <w:bCs/>
          <w:i w:val="false"/>
          <w:iCs w:val="false"/>
          <w:color w:val="4A235A"/>
          <w:sz w:val="28"/>
          <w:szCs w:val="28"/>
        </w:rPr>
        <w:t xml:space="preserve">PERTIMBANGAN KHUSUS DALAM PRESKRIPSI ANTIBIOTIK</w:t>
      </w:r>
    </w:p>
    <w:p>
      <w:pPr>
        <w:pBdr>
          <w:bottom w:val="single" w:color="7D3C98"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7D3C98"/>
          <w:sz w:val="24"/>
          <w:szCs w:val="24"/>
        </w:rPr>
        <w:t xml:space="preserve">8.1 Pasien Geriatri (Usia &gt;= 65 Tahun)</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Masalah</w:t>
            </w:r>
          </w:p>
        </w:tc>
        <w:tc>
          <w:tcPr>
            <w:tcW w:type="dxa" w:w="46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Implikasi Klinis</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GFR menurun fisiologis</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Hitung CrCl setiap kali sebelum meresepkan. Banyak lansia CKD tanpa kreatinin meningkat karena massa otot rendah.</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Multi-morbiditas dan polifarmasi</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Risiko interaksi obat meningkat. Periksa interaksi fluorokuinolon + antasida, warfarin + antibiotik.</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Risiko C. difficile lebih tinggi</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Lansia adalah populasi berisiko tinggi CDI (C. difficile Infection). Minimalkan klindamisin, 3rd-gen sefalosporin, fluorokuinolon.</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Presentasi atipikal</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Lansia dengan sepsis mungkin tidak demam dan tidak leukositosis. Confusion, hipotonia, jatuh bisa menjadi satu-satunya tanda.</w:t>
            </w:r>
          </w:p>
        </w:tc>
      </w:tr>
    </w:tbl>
    <w:p>
      <w:pPr>
        <w:pStyle w:val="Heading2"/>
        <w:spacing w:after="100" w:before="200"/>
      </w:pPr>
      <w:r>
        <w:rPr>
          <w:rFonts w:ascii="Arial" w:cs="Arial" w:eastAsia="Arial" w:hAnsi="Arial"/>
          <w:b/>
          <w:bCs/>
          <w:i w:val="false"/>
          <w:iCs w:val="false"/>
          <w:color w:val="7D3C98"/>
          <w:sz w:val="24"/>
          <w:szCs w:val="24"/>
        </w:rPr>
        <w:t xml:space="preserve">8.2 Alergi Penisilin: Navigasi Klinisi</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Penelitian menunjukkan bahwa &gt; 90% pasien dengan label "alergi penisilin" sebenarnya bukan alergi — atau memiliki reaksi yang tidak menghalangi penggunaan sefalosporin. Verifikasi riwayat alergi penting untuk menghindari over-restriction penggunaan beta-laktam.</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600"/>
        <w:gridCol w:w="1700"/>
        <w:gridCol w:w="3389"/>
      </w:tblGrid>
      <w:tr>
        <w:trPr>
          <w:tblHeader/>
        </w:trPr>
        <w:tc>
          <w:tcPr>
            <w:tcW w:type="dxa" w:w="16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Riwayat Reaksi</w:t>
            </w:r>
          </w:p>
        </w:tc>
        <w:tc>
          <w:tcPr>
            <w:tcW w:type="dxa" w:w="17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Risiko Silang dengan Sefalosporin</w:t>
            </w:r>
          </w:p>
        </w:tc>
        <w:tc>
          <w:tcPr>
            <w:tcW w:type="dxa" w:w="33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Panduan Klinis</w:t>
            </w:r>
          </w:p>
        </w:tc>
      </w:tr>
      <w:tr>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Anafilaksis (urtikaria, bronkospasme, syok)</w:t>
            </w:r>
          </w:p>
        </w:tc>
        <w:tc>
          <w:tcPr>
            <w:tcW w:type="dxa" w:w="1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Risiko silang &lt; 1-2% dengan sefalosporin</w:t>
            </w:r>
          </w:p>
        </w:tc>
        <w:tc>
          <w:tcPr>
            <w:tcW w:type="dxa" w:w="33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Hindari beta-laktam; gunakan azitromisin/klindamisin/ko-trimoksazol sesuai indikasi. Jika sangat diperlukan: skin test atau desensitisasi.</w:t>
            </w:r>
          </w:p>
        </w:tc>
      </w:tr>
      <w:tr>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Ruam makulo-papular tanpa gejala sistemik</w:t>
            </w:r>
          </w:p>
        </w:tc>
        <w:tc>
          <w:tcPr>
            <w:tcW w:type="dxa" w:w="1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Risiko rendah (&lt; 0,5%)</w:t>
            </w:r>
          </w:p>
        </w:tc>
        <w:tc>
          <w:tcPr>
            <w:tcW w:type="dxa" w:w="33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Sefalosporin dengan rantai samping R1 berbeda AMAN diberikan. Contoh: ceftriaxon aman jika riwayat ruam amoksisilin.</w:t>
            </w:r>
          </w:p>
        </w:tc>
      </w:tr>
      <w:tr>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ingat dengan jelas / "kata orang tua"</w:t>
            </w:r>
          </w:p>
        </w:tc>
        <w:tc>
          <w:tcPr>
            <w:tcW w:type="dxa" w:w="17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Kemungkinan bukan alergi sejati</w:t>
            </w:r>
          </w:p>
        </w:tc>
        <w:tc>
          <w:tcPr>
            <w:tcW w:type="dxa" w:w="33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Pertimbangkan uji tantangan (drug challenge) yang terkontrol atau konsul alergi-imunologi.</w:t>
            </w:r>
          </w:p>
        </w:tc>
      </w:tr>
    </w:tbl>
    <w:p>
      <w:pPr>
        <w:pageBreakBefore/>
        <w:spacing w:after="20" w:before="0"/>
      </w:pPr>
      <w:r>
        <w:rPr>
          <w:rFonts w:ascii="Arial" w:cs="Arial" w:eastAsia="Arial" w:hAnsi="Arial"/>
          <w:b/>
          <w:bCs/>
          <w:i w:val="false"/>
          <w:iCs w:val="false"/>
          <w:color w:val="7D3C98"/>
          <w:sz w:val="20"/>
          <w:szCs w:val="20"/>
        </w:rPr>
        <w:t xml:space="preserve">BAB 9</w:t>
      </w:r>
    </w:p>
    <w:p>
      <w:pPr>
        <w:pStyle w:val="Heading1"/>
        <w:spacing w:after="100" w:before="0"/>
      </w:pPr>
      <w:r>
        <w:rPr>
          <w:rFonts w:ascii="Arial" w:cs="Arial" w:eastAsia="Arial" w:hAnsi="Arial"/>
          <w:b/>
          <w:bCs/>
          <w:i w:val="false"/>
          <w:iCs w:val="false"/>
          <w:color w:val="4A235A"/>
          <w:sz w:val="28"/>
          <w:szCs w:val="28"/>
        </w:rPr>
        <w:t xml:space="preserve">INTERAKSI OBAT DAN EFEK SAMPING YANG PERLU DIWASPADAI</w:t>
      </w:r>
    </w:p>
    <w:p>
      <w:pPr>
        <w:pBdr>
          <w:bottom w:val="single" w:color="7D3C98"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7D3C98"/>
          <w:sz w:val="24"/>
          <w:szCs w:val="24"/>
        </w:rPr>
        <w:t xml:space="preserve">9.1 Interaksi Obat-Obat yang Sering di Klinik</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300"/>
        <w:gridCol w:w="1500"/>
        <w:gridCol w:w="2000"/>
        <w:gridCol w:w="1889"/>
      </w:tblGrid>
      <w:tr>
        <w:trPr>
          <w:tblHeader/>
        </w:trPr>
        <w:tc>
          <w:tcPr>
            <w:tcW w:type="dxa" w:w="13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Antibiotik</w:t>
            </w:r>
          </w:p>
        </w:tc>
        <w:tc>
          <w:tcPr>
            <w:tcW w:type="dxa" w:w="15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Obat yang Berinteraksi</w:t>
            </w:r>
          </w:p>
        </w:tc>
        <w:tc>
          <w:tcPr>
            <w:tcW w:type="dxa" w:w="20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Konsekuensi</w:t>
            </w:r>
          </w:p>
        </w:tc>
        <w:tc>
          <w:tcPr>
            <w:tcW w:type="dxa" w:w="18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Tindakan</w:t>
            </w:r>
          </w:p>
        </w:tc>
      </w:tr>
      <w:tr>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Metronidazol</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Flukonazol</w:t>
            </w:r>
          </w:p>
        </w:tc>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Warfarin / Antikoagulan</w:t>
            </w:r>
          </w:p>
        </w:tc>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Menghambat CYP2C9; meningkatkan efek antikoagulan; risiko perdarahan</w:t>
            </w:r>
          </w:p>
        </w:tc>
        <w:tc>
          <w:tcPr>
            <w:tcW w:type="dxa" w:w="18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Monitor INR lebih ketat; pertimbangkan kurangi dosis warfarin 25-50%</w:t>
            </w:r>
          </w:p>
        </w:tc>
      </w:tr>
      <w:tr>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Fluorokuinolon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(Ciprofloxacin, Levofloxacin)</w:t>
            </w:r>
          </w:p>
        </w:tc>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Antasida (Al, Mg)</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Fe/Zn Supplement</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Sukralfat</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DDI</w:t>
            </w:r>
          </w:p>
        </w:tc>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Kelasi logam; absorpsi fluorokuinolon turun drastis (hingga 90%)</w:t>
            </w:r>
          </w:p>
        </w:tc>
        <w:tc>
          <w:tcPr>
            <w:tcW w:type="dxa" w:w="18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Berikan fluorokuinolon 2 jam SEBELUM atau 4-6 jam SESUDAH antasida/suplemen</w:t>
            </w:r>
          </w:p>
        </w:tc>
      </w:tr>
      <w:tr>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Fluorokuinolon</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Azitromisin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Klartromisin</w:t>
            </w:r>
          </w:p>
        </w:tc>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Antiaritmia (amiodaron, sotalol)</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Antipsikotik (haloperidol)</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Antiemetik (ondansetron)</w:t>
            </w:r>
          </w:p>
        </w:tc>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Pemanjangan QTc sinergis; risiko Torsades de Pointes (aritmia fatal)</w:t>
            </w:r>
          </w:p>
        </w:tc>
        <w:tc>
          <w:tcPr>
            <w:tcW w:type="dxa" w:w="18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Cek QTc sebelum memulai; hindari kombinasi pada QTc &gt; 450 ms atau faktor risiko</w:t>
            </w:r>
          </w:p>
        </w:tc>
      </w:tr>
      <w:tr>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Rifampisin</w:t>
            </w:r>
          </w:p>
        </w:tc>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Hampir semua obat yang dimetabolisme CYP450 (OAH, Kontrasepsi oral, Statin, Siklosporin)</w:t>
            </w:r>
          </w:p>
        </w:tc>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Rifampisin inducer CYP kuat; menurunkan kadar berbagai obat secara signifikan</w:t>
            </w:r>
          </w:p>
        </w:tc>
        <w:tc>
          <w:tcPr>
            <w:tcW w:type="dxa" w:w="18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Review semua obat pasien sebelum memulai rifampisin; konsul Sp. Farmakologi</w:t>
            </w:r>
          </w:p>
        </w:tc>
      </w:tr>
      <w:tr>
        <w:tc>
          <w:tcPr>
            <w:tcW w:type="dxa" w:w="1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Aminoglikosida</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Vankomisin</w:t>
            </w:r>
          </w:p>
        </w:tc>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NSAID</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Diuretik loop (furosemid)</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Kontras radiologi</w:t>
            </w:r>
          </w:p>
        </w:tc>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Nefrotoksisitas sinergis; risiko gagal ginjal akut meningkat drastis</w:t>
            </w:r>
          </w:p>
        </w:tc>
        <w:tc>
          <w:tcPr>
            <w:tcW w:type="dxa" w:w="18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Minimalisasi penggunaan bersamaan; monitor kreatinin harian; hidrasi adekuat</w:t>
            </w:r>
          </w:p>
        </w:tc>
      </w:tr>
    </w:tbl>
    <w:p>
      <w:pPr>
        <w:pStyle w:val="Heading2"/>
        <w:spacing w:after="100" w:before="200"/>
      </w:pPr>
      <w:r>
        <w:rPr>
          <w:rFonts w:ascii="Arial" w:cs="Arial" w:eastAsia="Arial" w:hAnsi="Arial"/>
          <w:b/>
          <w:bCs/>
          <w:i w:val="false"/>
          <w:iCs w:val="false"/>
          <w:color w:val="7D3C98"/>
          <w:sz w:val="24"/>
          <w:szCs w:val="24"/>
        </w:rPr>
        <w:t xml:space="preserve">9.2 Efek Samping Serius yang Harus Dipantau</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200"/>
        <w:gridCol w:w="1500"/>
        <w:gridCol w:w="1800"/>
        <w:gridCol w:w="2189"/>
      </w:tblGrid>
      <w:tr>
        <w:trPr>
          <w:tblHeader/>
        </w:trPr>
        <w:tc>
          <w:tcPr>
            <w:tcW w:type="dxa" w:w="12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Efek Samping</w:t>
            </w:r>
          </w:p>
        </w:tc>
        <w:tc>
          <w:tcPr>
            <w:tcW w:type="dxa" w:w="15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Antibiotik Utama Penyebab</w:t>
            </w:r>
          </w:p>
        </w:tc>
        <w:tc>
          <w:tcPr>
            <w:tcW w:type="dxa" w:w="18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Tanda Klinis</w:t>
            </w:r>
          </w:p>
        </w:tc>
        <w:tc>
          <w:tcPr>
            <w:tcW w:type="dxa" w:w="21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Tindakan</w:t>
            </w:r>
          </w:p>
        </w:tc>
      </w:tr>
      <w:tr>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Nefrotoksisitas</w:t>
            </w:r>
          </w:p>
        </w:tc>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Aminoglikosida (Amikacin)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Vankomisin (terutama kombinasi)</w:t>
            </w:r>
          </w:p>
        </w:tc>
        <w:tc>
          <w:tcPr>
            <w:tcW w:type="dxa" w:w="18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Kreatinin naik &gt; 0,5 mg/dL; oliguria; silinder granular di urine</w:t>
            </w:r>
          </w:p>
        </w:tc>
        <w:tc>
          <w:tcPr>
            <w:tcW w:type="dxa" w:w="21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Stop atau ganti; koreksi hidrasi; pertimbangkan TDM</w:t>
            </w:r>
          </w:p>
        </w:tc>
      </w:tr>
      <w:tr>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 difficile Infection (CDI)</w:t>
            </w:r>
          </w:p>
        </w:tc>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3rd-gen sefalosporin, Fluorokuinolon, Karbapenem (risiko tertinggi dalam urutan ini)</w:t>
            </w:r>
          </w:p>
        </w:tc>
        <w:tc>
          <w:tcPr>
            <w:tcW w:type="dxa" w:w="18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Diare &gt;= 3x/hari, berair/berdarah; kram abdomen; leukositosis berat</w:t>
            </w:r>
          </w:p>
        </w:tc>
        <w:tc>
          <w:tcPr>
            <w:tcW w:type="dxa" w:w="21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Stop antibiotik penyebab; metronidazol/vankomisin oral untuk CDI</w:t>
            </w:r>
          </w:p>
        </w:tc>
      </w:tr>
      <w:tr>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QTc Memanjang</w:t>
            </w:r>
          </w:p>
        </w:tc>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Fluorokuinolon (Moxifloxacin &gt; Levofloxacin &gt; Ciprofloxacin)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Azitromisin / Klaritomisin</w:t>
            </w:r>
          </w:p>
        </w:tc>
        <w:tc>
          <w:tcPr>
            <w:tcW w:type="dxa" w:w="18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Biasanya asimtomatik; bisa menjadi palpitasi, sinkop; EKG: QTc &gt; 500 ms berbahaya</w:t>
            </w:r>
          </w:p>
        </w:tc>
        <w:tc>
          <w:tcPr>
            <w:tcW w:type="dxa" w:w="21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Monitor EKG; stop jika QTc &gt; 500 ms atau &gt; 60 ms dari baseline</w:t>
            </w:r>
          </w:p>
        </w:tc>
      </w:tr>
      <w:tr>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Tendinopati / Ruptur Tendon</w:t>
            </w:r>
          </w:p>
        </w:tc>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Fluorokuinolon (terutama pada lansia, pasien steroid)</w:t>
            </w:r>
          </w:p>
        </w:tc>
        <w:tc>
          <w:tcPr>
            <w:tcW w:type="dxa" w:w="18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Nyeri tendon Achilles; bengkak tanpa trauma; bisa ruptur spontan</w:t>
            </w:r>
          </w:p>
        </w:tc>
        <w:tc>
          <w:tcPr>
            <w:tcW w:type="dxa" w:w="21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Stop fluorokuinolon segera; ganti dengan kelas lain; immobilisasi sendi</w:t>
            </w:r>
          </w:p>
        </w:tc>
      </w:tr>
      <w:tr>
        <w:tc>
          <w:tcPr>
            <w:tcW w:type="dxa" w:w="12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Reaksi Alergi / Anafilaksis</w:t>
            </w:r>
          </w:p>
        </w:tc>
        <w:tc>
          <w:tcPr>
            <w:tcW w:type="dxa" w:w="15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Beta-laktam (paling sering)</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Sulfonamid</w:t>
            </w:r>
          </w:p>
        </w:tc>
        <w:tc>
          <w:tcPr>
            <w:tcW w:type="dxa" w:w="18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Urtikaria, angioedema, bronkospasme, hipotensi dalam menit-jam setelah pemberian</w:t>
            </w:r>
          </w:p>
        </w:tc>
        <w:tc>
          <w:tcPr>
            <w:tcW w:type="dxa" w:w="21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Epinefrin 0,3-0,5 mg IM segera; IVFD; antihistamin; kortikosteroid; stop antibiotik</w:t>
            </w:r>
          </w:p>
        </w:tc>
      </w:tr>
    </w:tbl>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7D3C98" w:sz="1"/>
              <w:left w:val="single" w:color="7D3C98" w:sz="1"/>
              <w:bottom w:val="single" w:color="7D3C98" w:sz="1"/>
              <w:right w:val="single" w:color="7D3C98" w:sz="1"/>
            </w:tcBorders>
            <w:shd w:fill="FBE9E7"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bCs/>
                <w:i w:val="false"/>
                <w:iCs w:val="false"/>
                <w:color w:val="1A1A1A"/>
                <w:sz w:val="18"/>
                <w:szCs w:val="18"/>
              </w:rPr>
              <w:t xml:space="preserve">PERINGATAN: Jangan tambahkan label "alergi" sembarangan ke rekam medis.</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Ruam ringan bukan selalu alergi sejati. Dokumentasikan: jenis reaksi, onset,</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keparahan, dan bagaimana reaksinya ditangani — bukan hanya nama antibiotiknya.</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Label alergi yang berlebihan menyebabkan over-restriction dan memaksa penggunaan</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antibiotik spektrum lebih luas atau lebih mahal yang tidak perlu.</w:t>
            </w:r>
          </w:p>
        </w:tc>
      </w:tr>
    </w:tbl>
    <w:p>
      <w:pPr>
        <w:pageBreakBefore/>
        <w:spacing w:after="20" w:before="0"/>
      </w:pPr>
      <w:r>
        <w:rPr>
          <w:rFonts w:ascii="Arial" w:cs="Arial" w:eastAsia="Arial" w:hAnsi="Arial"/>
          <w:b/>
          <w:bCs/>
          <w:i w:val="false"/>
          <w:iCs w:val="false"/>
          <w:color w:val="7D3C98"/>
          <w:sz w:val="20"/>
          <w:szCs w:val="20"/>
        </w:rPr>
        <w:t xml:space="preserve">BAB 10</w:t>
      </w:r>
    </w:p>
    <w:p>
      <w:pPr>
        <w:pStyle w:val="Heading1"/>
        <w:spacing w:after="100" w:before="0"/>
      </w:pPr>
      <w:r>
        <w:rPr>
          <w:rFonts w:ascii="Arial" w:cs="Arial" w:eastAsia="Arial" w:hAnsi="Arial"/>
          <w:b/>
          <w:bCs/>
          <w:i w:val="false"/>
          <w:iCs w:val="false"/>
          <w:color w:val="4A235A"/>
          <w:sz w:val="28"/>
          <w:szCs w:val="28"/>
        </w:rPr>
        <w:t xml:space="preserve">DOKTER DALAM EKOSISTEM PPRA RUMAH SAKIT</w:t>
      </w:r>
    </w:p>
    <w:p>
      <w:pPr>
        <w:pBdr>
          <w:bottom w:val="single" w:color="7D3C98"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7D3C98"/>
          <w:sz w:val="24"/>
          <w:szCs w:val="24"/>
        </w:rPr>
        <w:t xml:space="preserve">10.1 Hubungan Dokter dengan Tim PRA dan Apoteker Klinis</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Hubungan dokter dengan Tim PRA dan apoteker klinis bersifat kolaboratif, bukan hierarkis. Apoteker klinis memberikan rekomendasi berdasarkan analisis farmakologis; dokter mengintegrasikan dengan penilaian klinis dan membuat keputusan akhir. Ketidaksetujuan terhadap rekomendasi tidak dilarang, tetapi harus didokumentasikan beserta alasannya.</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Peran Apoteker Klinis dalam PGA</w:t>
            </w:r>
          </w:p>
        </w:tc>
        <w:tc>
          <w:tcPr>
            <w:tcW w:type="dxa" w:w="46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Yang Diharapkan dari Dokter</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Prospektif reviu: mengevaluasi semua resep antibiotik secara proaktif</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Terbuka terhadap masukan; luangkan waktu 5-10 menit untuk diskusi rekomendasi</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Rekomendasi de-eskalasi tertulis dalam catatan apoteker di RM</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Baca rekomendasi dan berikan respons tertulis (setuju/tidak + alasan) dalam 24 jam</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Rekomendasi IVOST ketika kriteria terpenuhi</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Implementasikan IVOST jika tidak ada kontraindikasi; jika tidak setuju, dokumentasikan</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Notifikasi WATCH/RESERVE usage kepada Tim PRA</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Berikan justifikasi klinis untuk penggunaan WATCH/RESERVE jika diminta; kooperatif dalam audit</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Penyesuaian dosis berdasarkan fungsi ginjal</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Verifikasi rekomendasi dosis; terapkan dengan mempertimbangkan konteks klinis pasien</w:t>
            </w:r>
          </w:p>
        </w:tc>
      </w:tr>
    </w:tbl>
    <w:p>
      <w:pPr>
        <w:pStyle w:val="Heading2"/>
        <w:spacing w:after="100" w:before="200"/>
      </w:pPr>
      <w:r>
        <w:rPr>
          <w:rFonts w:ascii="Arial" w:cs="Arial" w:eastAsia="Arial" w:hAnsi="Arial"/>
          <w:b/>
          <w:bCs/>
          <w:i w:val="false"/>
          <w:iCs w:val="false"/>
          <w:color w:val="7D3C98"/>
          <w:sz w:val="24"/>
          <w:szCs w:val="24"/>
        </w:rPr>
        <w:t xml:space="preserve">10.2 Peran Dokter dalam FORKKIT</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DPJP kasus yang dikaji dalam FORKKIT diharapkan hadir atau memberikan informasi kasus secara tertulis. FORKKIT bukan sidang — ini adalah forum pembelajaran multidisiplin. Rekomendasi yang dihasilkan bersifat edukatif dan tidak memiliki kekuatan punitif.</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3300"/>
        <w:gridCol w:w="3389"/>
      </w:tblGrid>
      <w:tr>
        <w:trPr>
          <w:tblHeader/>
        </w:trPr>
        <w:tc>
          <w:tcPr>
            <w:tcW w:type="dxa" w:w="33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Di FORKKIT, Dokter dapat...</w:t>
            </w:r>
          </w:p>
        </w:tc>
        <w:tc>
          <w:tcPr>
            <w:tcW w:type="dxa" w:w="33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Di FORKKIT, Dokter sebaiknya tidak...</w:t>
            </w:r>
          </w:p>
        </w:tc>
      </w:tr>
      <w:tr>
        <w:tc>
          <w:tcPr>
            <w:tcW w:type="dxa" w:w="3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Menjelaskan konteks klinis yang tidak terlihat dari RM</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Contoh: pasien menolak IVOST</w:t>
            </w:r>
          </w:p>
        </w:tc>
        <w:tc>
          <w:tcPr>
            <w:tcW w:type="dxa" w:w="33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Merasa terancam atau defensif terhadap audit kasus</w:t>
            </w:r>
          </w:p>
        </w:tc>
      </w:tr>
      <w:tr>
        <w:tc>
          <w:tcPr>
            <w:tcW w:type="dxa" w:w="3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Berdiskusi tentang alasan pemilihan antibiotik tertentu</w:t>
            </w:r>
          </w:p>
        </w:tc>
        <w:tc>
          <w:tcPr>
            <w:tcW w:type="dxa" w:w="33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Mengabaikan undangan atau tidak hadir tanpa perwakilan</w:t>
            </w:r>
          </w:p>
        </w:tc>
      </w:tr>
      <w:tr>
        <w:tc>
          <w:tcPr>
            <w:tcW w:type="dxa" w:w="3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Memberikan feedback tentang hambatan implementasi PGA di lapangan</w:t>
            </w:r>
          </w:p>
        </w:tc>
        <w:tc>
          <w:tcPr>
            <w:tcW w:type="dxa" w:w="33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Menganggap rekomendasi FORKKIT sebagai kritik personal</w:t>
            </w:r>
          </w:p>
        </w:tc>
      </w:tr>
      <w:tr>
        <w:tc>
          <w:tcPr>
            <w:tcW w:type="dxa" w:w="33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Mengusulkan perbaikan sistem (misal: formularium, availabilitas kultur)</w:t>
            </w:r>
          </w:p>
        </w:tc>
        <w:tc>
          <w:tcPr>
            <w:tcW w:type="dxa" w:w="33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Menjanjikan sesuatu tanpa kemampuan implementasi</w:t>
            </w:r>
          </w:p>
        </w:tc>
      </w:tr>
    </w:tbl>
    <w:p>
      <w:pPr>
        <w:pStyle w:val="Heading2"/>
        <w:spacing w:after="100" w:before="200"/>
      </w:pPr>
      <w:r>
        <w:rPr>
          <w:rFonts w:ascii="Arial" w:cs="Arial" w:eastAsia="Arial" w:hAnsi="Arial"/>
          <w:b/>
          <w:bCs/>
          <w:i w:val="false"/>
          <w:iCs w:val="false"/>
          <w:color w:val="7D3C98"/>
          <w:sz w:val="24"/>
          <w:szCs w:val="24"/>
        </w:rPr>
        <w:t xml:space="preserve">10.3 Dokumentasi Rekam Medis yang Mendukung PGA</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Rekam medis adalah sumber data utama audit Gyssens. Dokumen yang baik melindungi dokter sekaligus mendukung program PGA. Berikut elemen yang wajib ada untuk setiap episode antibiotik:</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Elemen Dokumentasi</w:t>
            </w:r>
          </w:p>
        </w:tc>
        <w:tc>
          <w:tcPr>
            <w:tcW w:type="dxa" w:w="46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Contoh Penulisan yang Baik</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Indikasi antibiotik</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"Pneumonia komunitas derajat sedang (CURB-65: 2), kemungkinan etiologi S. pneumoniae/atipik. Dimulai ceftriaxon 2g + azitromisin 500mg"</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Rencana evaluasi</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"Evaluasi ulang 48-72 jam setelah hasil kultur darah dan sputum tersedia. De-eskalasi direncanakan jika ada pertumbuhan bakteri dan klinis membaik"</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Respons terhadap rekomendasi</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IVOST: "Setuju IVOST berdasarkan rekomendasi apoteker — pasien afebris 24 jam, tanda vital stabil, GI baik. Ganti ke levofloxacin PO 500mg 1x mulai hari ini"</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Alasan tidak de-eskalasi</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"De-eskalasi ditunda: hasil kultur menunjukkan E. coli, namun pasien masih demam hari ke-3. Evaluasi ulang besok. Pertimbangkan sumber sekunder"</w:t>
            </w:r>
          </w:p>
        </w:tc>
      </w:tr>
      <w:tr>
        <w:tc>
          <w:tcPr>
            <w:tcW w:type="dxa" w:w="20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Alasan perpanjangan durasi</w:t>
            </w:r>
          </w:p>
        </w:tc>
        <w:tc>
          <w:tcPr>
            <w:tcW w:type="dxa" w:w="46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"Perpanjangan antibiotik 3 hari (total 10 hari): pielonefritis dengan respons lambat; kreatinin masih meningkat; kultur darah positif hari ke-2"</w:t>
            </w:r>
          </w:p>
        </w:tc>
      </w:tr>
    </w:tbl>
    <w:p>
      <w:pPr>
        <w:pStyle w:val="Heading1"/>
        <w:pageBreakBefore/>
        <w:spacing w:after="140" w:before="0"/>
      </w:pPr>
      <w:r>
        <w:rPr>
          <w:rFonts w:ascii="Arial" w:cs="Arial" w:eastAsia="Arial" w:hAnsi="Arial"/>
          <w:b/>
          <w:bCs/>
          <w:i w:val="false"/>
          <w:iCs w:val="false"/>
          <w:color w:val="4A235A"/>
          <w:sz w:val="28"/>
          <w:szCs w:val="28"/>
        </w:rPr>
        <w:t xml:space="preserve">LAMPIRAN: QUICK REFERENCE ANTIBIOTIK UMUM</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Tabel singkat untuk referensi cepat di titik pelayanan. Dosis untuk pasien dewasa dengan fungsi ginjal normal.</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900"/>
        <w:gridCol w:w="1600"/>
        <w:gridCol w:w="1600"/>
        <w:gridCol w:w="600"/>
        <w:gridCol w:w="1989"/>
      </w:tblGrid>
      <w:tr>
        <w:trPr>
          <w:tblHeader/>
        </w:trPr>
        <w:tc>
          <w:tcPr>
            <w:tcW w:type="dxa" w:w="9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Antibiotik</w:t>
            </w:r>
          </w:p>
        </w:tc>
        <w:tc>
          <w:tcPr>
            <w:tcW w:type="dxa" w:w="16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Dosis Umum Dewasa</w:t>
            </w:r>
          </w:p>
        </w:tc>
        <w:tc>
          <w:tcPr>
            <w:tcW w:type="dxa" w:w="16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bCs/>
                <w:i w:val="false"/>
                <w:iCs w:val="false"/>
                <w:color w:val="1A1A1A"/>
                <w:sz w:val="16"/>
                <w:szCs w:val="16"/>
              </w:rPr>
              <w:t xml:space="preserve">PK/PD</w:t>
            </w:r>
          </w:p>
          <w:p>
            <w:pPr>
              <w:spacing w:after="0" w:before="0" w:line="220"/>
              <w:jc w:val="left"/>
            </w:pPr>
            <w:r>
              <w:rPr>
                <w:rFonts w:ascii="Times New Roman" w:cs="Times New Roman" w:eastAsia="Times New Roman" w:hAnsi="Times New Roman"/>
                <w:b/>
                <w:bCs/>
                <w:i w:val="false"/>
                <w:iCs w:val="false"/>
                <w:color w:val="1A1A1A"/>
                <w:sz w:val="16"/>
                <w:szCs w:val="16"/>
              </w:rPr>
              <w:t xml:space="preserve">Tipe</w:t>
            </w:r>
          </w:p>
        </w:tc>
        <w:tc>
          <w:tcPr>
            <w:tcW w:type="dxa" w:w="600"/>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AWaRe</w:t>
            </w:r>
          </w:p>
        </w:tc>
        <w:tc>
          <w:tcPr>
            <w:tcW w:type="dxa" w:w="1989"/>
            <w:tcBorders>
              <w:top w:val="single" w:color="CBA4D0" w:sz="1"/>
              <w:left w:val="single" w:color="CBA4D0" w:sz="1"/>
              <w:bottom w:val="single" w:color="CBA4D0" w:sz="1"/>
              <w:right w:val="single" w:color="CBA4D0" w:sz="1"/>
            </w:tcBorders>
            <w:shd w:fill="F4ECF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Catatan Utama</w:t>
            </w:r>
          </w:p>
        </w:tc>
      </w:tr>
      <w:tr>
        <w:tc>
          <w:tcPr>
            <w:tcW w:type="dxa" w:w="9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Amoksisilin</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500 mg PO 3x/hr</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T-dep</w:t>
            </w:r>
          </w:p>
        </w:tc>
        <w:tc>
          <w:tcPr>
            <w:tcW w:type="dxa" w:w="600"/>
            <w:tcBorders>
              <w:top w:val="single" w:color="CBA4D0" w:sz="1"/>
              <w:left w:val="single" w:color="CBA4D0" w:sz="1"/>
              <w:bottom w:val="single" w:color="CBA4D0" w:sz="1"/>
              <w:right w:val="single" w:color="CBA4D0"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9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Lini 1 ISN/ISK ringan; tidak stabil asam lambung?</w:t>
            </w:r>
          </w:p>
        </w:tc>
      </w:tr>
      <w:tr>
        <w:tc>
          <w:tcPr>
            <w:tcW w:type="dxa" w:w="9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Amoksisilin-Klav</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625 mg PO 2x/hr</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ATAU 1,2g IV 3x/hr</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T-dep</w:t>
            </w:r>
          </w:p>
        </w:tc>
        <w:tc>
          <w:tcPr>
            <w:tcW w:type="dxa" w:w="600"/>
            <w:tcBorders>
              <w:top w:val="single" w:color="CBA4D0" w:sz="1"/>
              <w:left w:val="single" w:color="CBA4D0" w:sz="1"/>
              <w:bottom w:val="single" w:color="CBA4D0" w:sz="1"/>
              <w:right w:val="single" w:color="CBA4D0"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9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Lebih luas dari amoksisilin; mencakup S. aureus</w:t>
            </w:r>
          </w:p>
        </w:tc>
      </w:tr>
      <w:tr>
        <w:tc>
          <w:tcPr>
            <w:tcW w:type="dxa" w:w="9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Ampisilin-Sulbaktam</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1,5-3g IV 4x/hr</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T-dep</w:t>
            </w:r>
          </w:p>
        </w:tc>
        <w:tc>
          <w:tcPr>
            <w:tcW w:type="dxa" w:w="600"/>
            <w:tcBorders>
              <w:top w:val="single" w:color="CBA4D0" w:sz="1"/>
              <w:left w:val="single" w:color="CBA4D0" w:sz="1"/>
              <w:bottom w:val="single" w:color="CBA4D0" w:sz="1"/>
              <w:right w:val="single" w:color="CBA4D0"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9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Pilihan baik untuk infeksi campuran; mencakup anaerob</w:t>
            </w:r>
          </w:p>
        </w:tc>
      </w:tr>
      <w:tr>
        <w:tc>
          <w:tcPr>
            <w:tcW w:type="dxa" w:w="9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1-2g IV 3x/hr</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T-dep</w:t>
            </w:r>
          </w:p>
        </w:tc>
        <w:tc>
          <w:tcPr>
            <w:tcW w:type="dxa" w:w="600"/>
            <w:tcBorders>
              <w:top w:val="single" w:color="CBA4D0" w:sz="1"/>
              <w:left w:val="single" w:color="CBA4D0" w:sz="1"/>
              <w:bottom w:val="single" w:color="CBA4D0" w:sz="1"/>
              <w:right w:val="single" w:color="CBA4D0"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9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Profilaksis bedah; ISK; SSTI gram-positif</w:t>
            </w:r>
          </w:p>
        </w:tc>
      </w:tr>
      <w:tr>
        <w:tc>
          <w:tcPr>
            <w:tcW w:type="dxa" w:w="9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Sefaleksin</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500 mg PO 4x/hr</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T-dep</w:t>
            </w:r>
          </w:p>
        </w:tc>
        <w:tc>
          <w:tcPr>
            <w:tcW w:type="dxa" w:w="600"/>
            <w:tcBorders>
              <w:top w:val="single" w:color="CBA4D0" w:sz="1"/>
              <w:left w:val="single" w:color="CBA4D0" w:sz="1"/>
              <w:bottom w:val="single" w:color="CBA4D0" w:sz="1"/>
              <w:right w:val="single" w:color="CBA4D0"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9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SSTI tanpa komplikasi; UTI ringan</w:t>
            </w:r>
          </w:p>
        </w:tc>
      </w:tr>
      <w:tr>
        <w:tc>
          <w:tcPr>
            <w:tcW w:type="dxa" w:w="9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Ko-trimoksazol</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960 mg PO 2x/hr</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C-dep</w:t>
            </w:r>
          </w:p>
        </w:tc>
        <w:tc>
          <w:tcPr>
            <w:tcW w:type="dxa" w:w="600"/>
            <w:tcBorders>
              <w:top w:val="single" w:color="CBA4D0" w:sz="1"/>
              <w:left w:val="single" w:color="CBA4D0" w:sz="1"/>
              <w:bottom w:val="single" w:color="CBA4D0" w:sz="1"/>
              <w:right w:val="single" w:color="CBA4D0"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9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UTI; MRSA-CA; Pneumocystis; Nocardia</w:t>
            </w:r>
          </w:p>
        </w:tc>
      </w:tr>
      <w:tr>
        <w:tc>
          <w:tcPr>
            <w:tcW w:type="dxa" w:w="9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300-450 mg PO 4x/hr</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ATAU 600 mg IV 3x/hr</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T-dep</w:t>
            </w:r>
          </w:p>
        </w:tc>
        <w:tc>
          <w:tcPr>
            <w:tcW w:type="dxa" w:w="600"/>
            <w:tcBorders>
              <w:top w:val="single" w:color="CBA4D0" w:sz="1"/>
              <w:left w:val="single" w:color="CBA4D0" w:sz="1"/>
              <w:bottom w:val="single" w:color="CBA4D0" w:sz="1"/>
              <w:right w:val="single" w:color="CBA4D0"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9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SSTI; profilaksis gigi; anaerob; BA oral tinggi</w:t>
            </w:r>
          </w:p>
        </w:tc>
      </w:tr>
      <w:tr>
        <w:tc>
          <w:tcPr>
            <w:tcW w:type="dxa" w:w="9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Metronidazol</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500 mg PO/IV 3x/hr</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C-dep</w:t>
            </w:r>
          </w:p>
        </w:tc>
        <w:tc>
          <w:tcPr>
            <w:tcW w:type="dxa" w:w="600"/>
            <w:tcBorders>
              <w:top w:val="single" w:color="CBA4D0" w:sz="1"/>
              <w:left w:val="single" w:color="CBA4D0" w:sz="1"/>
              <w:bottom w:val="single" w:color="CBA4D0" w:sz="1"/>
              <w:right w:val="single" w:color="CBA4D0"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9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Anaerob; C. diff; H. pylori; BA oral &gt; 95%</w:t>
            </w:r>
          </w:p>
        </w:tc>
      </w:tr>
      <w:tr>
        <w:tc>
          <w:tcPr>
            <w:tcW w:type="dxa" w:w="9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Doksisiklin</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100 mg PO 2x/hr</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T-dep</w:t>
            </w:r>
          </w:p>
        </w:tc>
        <w:tc>
          <w:tcPr>
            <w:tcW w:type="dxa" w:w="600"/>
            <w:tcBorders>
              <w:top w:val="single" w:color="CBA4D0" w:sz="1"/>
              <w:left w:val="single" w:color="CBA4D0" w:sz="1"/>
              <w:bottom w:val="single" w:color="CBA4D0" w:sz="1"/>
              <w:right w:val="single" w:color="CBA4D0"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9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Atipik; RMSF; STI; CA oral &gt; 90%</w:t>
            </w:r>
          </w:p>
        </w:tc>
      </w:tr>
      <w:tr>
        <w:tc>
          <w:tcPr>
            <w:tcW w:type="dxa" w:w="9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Ceftriaxon</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1-2g IV 1x/hr</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T-dep</w:t>
            </w:r>
          </w:p>
        </w:tc>
        <w:tc>
          <w:tcPr>
            <w:tcW w:type="dxa" w:w="600"/>
            <w:tcBorders>
              <w:top w:val="single" w:color="CBA4D0" w:sz="1"/>
              <w:left w:val="single" w:color="CBA4D0" w:sz="1"/>
              <w:bottom w:val="single" w:color="CBA4D0" w:sz="1"/>
              <w:right w:val="single" w:color="CBA4D0" w:sz="1"/>
            </w:tcBorders>
            <w:shd w:fill="FBE9E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WATCH</w:t>
            </w:r>
          </w:p>
        </w:tc>
        <w:tc>
          <w:tcPr>
            <w:tcW w:type="dxa" w:w="19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Infeksi sedang-berat; TIDAK untuk ESBL</w:t>
            </w:r>
          </w:p>
        </w:tc>
      </w:tr>
      <w:tr>
        <w:tc>
          <w:tcPr>
            <w:tcW w:type="dxa" w:w="9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Ciprofloxacin</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400 mg IV 2x/hr</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ATAU 500 mg PO 2x/hr</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C-dep</w:t>
            </w:r>
          </w:p>
        </w:tc>
        <w:tc>
          <w:tcPr>
            <w:tcW w:type="dxa" w:w="600"/>
            <w:tcBorders>
              <w:top w:val="single" w:color="CBA4D0" w:sz="1"/>
              <w:left w:val="single" w:color="CBA4D0" w:sz="1"/>
              <w:bottom w:val="single" w:color="CBA4D0" w:sz="1"/>
              <w:right w:val="single" w:color="CBA4D0" w:sz="1"/>
            </w:tcBorders>
            <w:shd w:fill="FBE9E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WATCH</w:t>
            </w:r>
          </w:p>
        </w:tc>
        <w:tc>
          <w:tcPr>
            <w:tcW w:type="dxa" w:w="19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ISK komplikasi; Gram-negatif; BA oral 70-80%</w:t>
            </w:r>
          </w:p>
        </w:tc>
      </w:tr>
      <w:tr>
        <w:tc>
          <w:tcPr>
            <w:tcW w:type="dxa" w:w="9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Levofloxacin</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500 mg IV/PO 1x/hr</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C-dep</w:t>
            </w:r>
          </w:p>
        </w:tc>
        <w:tc>
          <w:tcPr>
            <w:tcW w:type="dxa" w:w="600"/>
            <w:tcBorders>
              <w:top w:val="single" w:color="CBA4D0" w:sz="1"/>
              <w:left w:val="single" w:color="CBA4D0" w:sz="1"/>
              <w:bottom w:val="single" w:color="CBA4D0" w:sz="1"/>
              <w:right w:val="single" w:color="CBA4D0" w:sz="1"/>
            </w:tcBorders>
            <w:shd w:fill="FBE9E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WATCH</w:t>
            </w:r>
          </w:p>
        </w:tc>
        <w:tc>
          <w:tcPr>
            <w:tcW w:type="dxa" w:w="19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CAP atipik; BA oral 99%; pantau QTc</w:t>
            </w:r>
          </w:p>
        </w:tc>
      </w:tr>
      <w:tr>
        <w:tc>
          <w:tcPr>
            <w:tcW w:type="dxa" w:w="9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Azitromisin</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500 mg PO/IV 1x/hr</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AUC-dep</w:t>
            </w:r>
          </w:p>
        </w:tc>
        <w:tc>
          <w:tcPr>
            <w:tcW w:type="dxa" w:w="600"/>
            <w:tcBorders>
              <w:top w:val="single" w:color="CBA4D0" w:sz="1"/>
              <w:left w:val="single" w:color="CBA4D0" w:sz="1"/>
              <w:bottom w:val="single" w:color="CBA4D0" w:sz="1"/>
              <w:right w:val="single" w:color="CBA4D0" w:sz="1"/>
            </w:tcBorders>
            <w:shd w:fill="FBE9E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WATCH</w:t>
            </w:r>
          </w:p>
        </w:tc>
        <w:tc>
          <w:tcPr>
            <w:tcW w:type="dxa" w:w="19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Atipik; MAC; CAP ringan; AUC/MIC driven</w:t>
            </w:r>
          </w:p>
        </w:tc>
      </w:tr>
      <w:tr>
        <w:tc>
          <w:tcPr>
            <w:tcW w:type="dxa" w:w="9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Cefoperazon-Sulbaktam</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2g IV 2x/hr</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T-dep</w:t>
            </w:r>
          </w:p>
        </w:tc>
        <w:tc>
          <w:tcPr>
            <w:tcW w:type="dxa" w:w="600"/>
            <w:tcBorders>
              <w:top w:val="single" w:color="CBA4D0" w:sz="1"/>
              <w:left w:val="single" w:color="CBA4D0" w:sz="1"/>
              <w:bottom w:val="single" w:color="CBA4D0" w:sz="1"/>
              <w:right w:val="single" w:color="CBA4D0" w:sz="1"/>
            </w:tcBorders>
            <w:shd w:fill="FBE9E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WATCH</w:t>
            </w:r>
          </w:p>
        </w:tc>
        <w:tc>
          <w:tcPr>
            <w:tcW w:type="dxa" w:w="19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MDR Gram-neg; HAP/VAP; CRAB aktif</w:t>
            </w:r>
          </w:p>
        </w:tc>
      </w:tr>
      <w:tr>
        <w:tc>
          <w:tcPr>
            <w:tcW w:type="dxa" w:w="9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Amikacin</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15-20 mg/kgBB IV 1x/hr</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C-dep</w:t>
            </w:r>
          </w:p>
        </w:tc>
        <w:tc>
          <w:tcPr>
            <w:tcW w:type="dxa" w:w="600"/>
            <w:tcBorders>
              <w:top w:val="single" w:color="CBA4D0" w:sz="1"/>
              <w:left w:val="single" w:color="CBA4D0" w:sz="1"/>
              <w:bottom w:val="single" w:color="CBA4D0" w:sz="1"/>
              <w:right w:val="single" w:color="CBA4D0" w:sz="1"/>
            </w:tcBorders>
            <w:shd w:fill="FBE9E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WATCH</w:t>
            </w:r>
          </w:p>
        </w:tc>
        <w:tc>
          <w:tcPr>
            <w:tcW w:type="dxa" w:w="19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Once-daily; monitor kreatinin; TDM jika &gt; 5 hari</w:t>
            </w:r>
          </w:p>
        </w:tc>
      </w:tr>
      <w:tr>
        <w:tc>
          <w:tcPr>
            <w:tcW w:type="dxa" w:w="9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Meropenem</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1-2g IV 3x/hr</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T-dep</w:t>
            </w:r>
          </w:p>
        </w:tc>
        <w:tc>
          <w:tcPr>
            <w:tcW w:type="dxa" w:w="600"/>
            <w:tcBorders>
              <w:top w:val="single" w:color="CBA4D0" w:sz="1"/>
              <w:left w:val="single" w:color="CBA4D0" w:sz="1"/>
              <w:bottom w:val="single" w:color="CBA4D0" w:sz="1"/>
              <w:right w:val="single" w:color="CBA4D0" w:sz="1"/>
            </w:tcBorders>
            <w:shd w:fill="FFEBEE"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RESERVE</w:t>
            </w:r>
          </w:p>
        </w:tc>
        <w:tc>
          <w:tcPr>
            <w:tcW w:type="dxa" w:w="19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MDR saja; WAJIB konfirmasi kultur; RESERVE</w:t>
            </w:r>
          </w:p>
        </w:tc>
      </w:tr>
      <w:tr>
        <w:tc>
          <w:tcPr>
            <w:tcW w:type="dxa" w:w="9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Vankomisin</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15-20 mg/kgBB IV 2-3x/hr</w:t>
            </w:r>
          </w:p>
        </w:tc>
        <w:tc>
          <w:tcPr>
            <w:tcW w:type="dxa" w:w="1600"/>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AUC-dep</w:t>
            </w:r>
          </w:p>
        </w:tc>
        <w:tc>
          <w:tcPr>
            <w:tcW w:type="dxa" w:w="600"/>
            <w:tcBorders>
              <w:top w:val="single" w:color="CBA4D0" w:sz="1"/>
              <w:left w:val="single" w:color="CBA4D0" w:sz="1"/>
              <w:bottom w:val="single" w:color="CBA4D0" w:sz="1"/>
              <w:right w:val="single" w:color="CBA4D0" w:sz="1"/>
            </w:tcBorders>
            <w:shd w:fill="FFEBEE"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RESERVE</w:t>
            </w:r>
          </w:p>
        </w:tc>
        <w:tc>
          <w:tcPr>
            <w:tcW w:type="dxa" w:w="1989"/>
            <w:tcBorders>
              <w:top w:val="single" w:color="CBA4D0" w:sz="1"/>
              <w:left w:val="single" w:color="CBA4D0" w:sz="1"/>
              <w:bottom w:val="single" w:color="CBA4D0" w:sz="1"/>
              <w:right w:val="single" w:color="CBA4D0"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MRSA; TDM wajib; nefrotoksik; target AUC 400-600</w:t>
            </w:r>
          </w:p>
        </w:tc>
      </w:tr>
    </w:tbl>
    <w:p>
      <w:pPr>
        <w:pStyle w:val="Heading1"/>
        <w:pageBreakBefore/>
        <w:spacing w:after="140" w:before="0"/>
      </w:pPr>
      <w:r>
        <w:rPr>
          <w:rFonts w:ascii="Arial" w:cs="Arial" w:eastAsia="Arial" w:hAnsi="Arial"/>
          <w:b/>
          <w:bCs/>
          <w:i w:val="false"/>
          <w:iCs w:val="false"/>
          <w:color w:val="4A235A"/>
          <w:sz w:val="28"/>
          <w:szCs w:val="28"/>
        </w:rPr>
        <w:t xml:space="preserve">DAFTAR PUSTAKA</w:t>
      </w:r>
    </w:p>
    <w:p>
      <w:pPr>
        <w:pBdr>
          <w:bottom w:val="single" w:color="7D3C98"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  </w:t>
      </w:r>
      <w:r>
        <w:rPr>
          <w:rFonts w:ascii="Times New Roman" w:cs="Times New Roman" w:eastAsia="Times New Roman" w:hAnsi="Times New Roman"/>
          <w:b w:val="false"/>
          <w:bCs w:val="false"/>
          <w:i w:val="false"/>
          <w:iCs w:val="false"/>
          <w:color w:val="1A1A1A"/>
          <w:sz w:val="18"/>
          <w:szCs w:val="18"/>
        </w:rPr>
        <w:t xml:space="preserve">Kementerian Kesehatan Republik Indonesia. Panduan Penatagunaan Antimikroba (PGA) di Rumah Sakit, Edisi I. Jakarta: Kemenkes RI; 2021.</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2.  </w:t>
      </w:r>
      <w:r>
        <w:rPr>
          <w:rFonts w:ascii="Times New Roman" w:cs="Times New Roman" w:eastAsia="Times New Roman" w:hAnsi="Times New Roman"/>
          <w:b w:val="false"/>
          <w:bCs w:val="false"/>
          <w:i w:val="false"/>
          <w:iCs w:val="false"/>
          <w:color w:val="1A1A1A"/>
          <w:sz w:val="18"/>
          <w:szCs w:val="18"/>
        </w:rPr>
        <w:t xml:space="preserve">Kementerian Kesehatan Republik Indonesia. Peraturan Menteri Kesehatan Nomor 28 Tahun 2021 tentang Pedoman Penggunaan Antibiotik. Jakarta: Kemenkes RI; 2021.</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3.  </w:t>
      </w:r>
      <w:r>
        <w:rPr>
          <w:rFonts w:ascii="Times New Roman" w:cs="Times New Roman" w:eastAsia="Times New Roman" w:hAnsi="Times New Roman"/>
          <w:b w:val="false"/>
          <w:bCs w:val="false"/>
          <w:i w:val="false"/>
          <w:iCs w:val="false"/>
          <w:color w:val="1A1A1A"/>
          <w:sz w:val="18"/>
          <w:szCs w:val="18"/>
        </w:rPr>
        <w:t xml:space="preserve">Kementerian Kesehatan Republik Indonesia. KMK No. HK.01.07/MENKES/1596/2024 tentang Standar Akreditasi Rumah Sakit (STARKES 2024). Jakarta: Kemenkes RI; 2024.</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4.  </w:t>
      </w:r>
      <w:r>
        <w:rPr>
          <w:rFonts w:ascii="Times New Roman" w:cs="Times New Roman" w:eastAsia="Times New Roman" w:hAnsi="Times New Roman"/>
          <w:b w:val="false"/>
          <w:bCs w:val="false"/>
          <w:i w:val="false"/>
          <w:iCs w:val="false"/>
          <w:color w:val="1A1A1A"/>
          <w:sz w:val="18"/>
          <w:szCs w:val="18"/>
        </w:rPr>
        <w:t xml:space="preserve">World Health Organization. AWaRe (Access, Watch, Reserve) Antibiotic Book 2023. Geneva: WHO; 2023.</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5.  </w:t>
      </w:r>
      <w:r>
        <w:rPr>
          <w:rFonts w:ascii="Times New Roman" w:cs="Times New Roman" w:eastAsia="Times New Roman" w:hAnsi="Times New Roman"/>
          <w:b w:val="false"/>
          <w:bCs w:val="false"/>
          <w:i w:val="false"/>
          <w:iCs w:val="false"/>
          <w:color w:val="1A1A1A"/>
          <w:sz w:val="18"/>
          <w:szCs w:val="18"/>
        </w:rPr>
        <w:t xml:space="preserve">Barlam TF, Cosgrove SE, Abbo LM, et al. Implementing an Antibiotic Stewardship Program: Guidelines by the IDSA and SHEA. Clin Infect Dis. 2016;62(10):e51-e77. doi:10.1093/cid/ciw118</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6.  </w:t>
      </w:r>
      <w:r>
        <w:rPr>
          <w:rFonts w:ascii="Times New Roman" w:cs="Times New Roman" w:eastAsia="Times New Roman" w:hAnsi="Times New Roman"/>
          <w:b w:val="false"/>
          <w:bCs w:val="false"/>
          <w:i w:val="false"/>
          <w:iCs w:val="false"/>
          <w:color w:val="1A1A1A"/>
          <w:sz w:val="18"/>
          <w:szCs w:val="18"/>
        </w:rPr>
        <w:t xml:space="preserve">Davey P, Marwick CA, Scott CL, et al. Interventions to improve antibiotic prescribing practices for hospital inpatients. Cochrane Database Syst Rev. 2017;(2):CD003543.</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7.  </w:t>
      </w:r>
      <w:r>
        <w:rPr>
          <w:rFonts w:ascii="Times New Roman" w:cs="Times New Roman" w:eastAsia="Times New Roman" w:hAnsi="Times New Roman"/>
          <w:b w:val="false"/>
          <w:bCs w:val="false"/>
          <w:i w:val="false"/>
          <w:iCs w:val="false"/>
          <w:color w:val="1A1A1A"/>
          <w:sz w:val="18"/>
          <w:szCs w:val="18"/>
        </w:rPr>
        <w:t xml:space="preserve">Gyssens IC. Quality measures of antimicrobial drug use. Int J Antimicrob Agents. 2001;17(1):9-19.</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8.  </w:t>
      </w:r>
      <w:r>
        <w:rPr>
          <w:rFonts w:ascii="Times New Roman" w:cs="Times New Roman" w:eastAsia="Times New Roman" w:hAnsi="Times New Roman"/>
          <w:b w:val="false"/>
          <w:bCs w:val="false"/>
          <w:i w:val="false"/>
          <w:iCs w:val="false"/>
          <w:color w:val="1A1A1A"/>
          <w:sz w:val="18"/>
          <w:szCs w:val="18"/>
        </w:rPr>
        <w:t xml:space="preserve">Tamma PD, Miller MA, Cosgrove SE. Rethinking How Antibiotics Are Prescribed: Incorporating the 4 Moments of Antibiotic Decision Making Into Clinical Practice. JAMA. 2019;321(2):139-140. doi:10.1001/jama.2018.18174</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9.  </w:t>
      </w:r>
      <w:r>
        <w:rPr>
          <w:rFonts w:ascii="Times New Roman" w:cs="Times New Roman" w:eastAsia="Times New Roman" w:hAnsi="Times New Roman"/>
          <w:b w:val="false"/>
          <w:bCs w:val="false"/>
          <w:i w:val="false"/>
          <w:iCs w:val="false"/>
          <w:color w:val="1A1A1A"/>
          <w:sz w:val="18"/>
          <w:szCs w:val="18"/>
        </w:rPr>
        <w:t xml:space="preserve">Li H, Zhao C, Li S, et al. Efficacy of oral versus intravenous antibiotics for the treatment of infections: a systematic review and meta-analysis. Lancet Infect Dis. 2022. doi:10.1016/S1473-3099(22)00148-5</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10.  </w:t>
      </w:r>
      <w:r>
        <w:rPr>
          <w:rFonts w:ascii="Times New Roman" w:cs="Times New Roman" w:eastAsia="Times New Roman" w:hAnsi="Times New Roman"/>
          <w:b w:val="false"/>
          <w:bCs w:val="false"/>
          <w:i w:val="false"/>
          <w:iCs w:val="false"/>
          <w:color w:val="1A1A1A"/>
          <w:sz w:val="18"/>
          <w:szCs w:val="18"/>
        </w:rPr>
        <w:t xml:space="preserve">Schuetz P, Wirz Y, Sager R, et al. Procalcitonin to initiate or discontinue antibiotics in acute respiratory tract infections. Cochrane Database Syst Rev. 2017;10:CD007498.</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11.  </w:t>
      </w:r>
      <w:r>
        <w:rPr>
          <w:rFonts w:ascii="Times New Roman" w:cs="Times New Roman" w:eastAsia="Times New Roman" w:hAnsi="Times New Roman"/>
          <w:b w:val="false"/>
          <w:bCs w:val="false"/>
          <w:i w:val="false"/>
          <w:iCs w:val="false"/>
          <w:color w:val="1A1A1A"/>
          <w:sz w:val="18"/>
          <w:szCs w:val="18"/>
        </w:rPr>
        <w:t xml:space="preserve">Spellberg B. The New Antibiotic Mantra: "Shorter Is Better". JAMA Intern Med. 2016;176(9):1254-1255. doi:10.1001/jamainternmed.2016.3646</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12.  </w:t>
      </w:r>
      <w:r>
        <w:rPr>
          <w:rFonts w:ascii="Times New Roman" w:cs="Times New Roman" w:eastAsia="Times New Roman" w:hAnsi="Times New Roman"/>
          <w:b w:val="false"/>
          <w:bCs w:val="false"/>
          <w:i w:val="false"/>
          <w:iCs w:val="false"/>
          <w:color w:val="1A1A1A"/>
          <w:sz w:val="18"/>
          <w:szCs w:val="18"/>
        </w:rPr>
        <w:t xml:space="preserve">Tversky A, Kahneman D. Judgment under Uncertainty: Heuristics and Biases. Science. 1974;185(4157):1124-1131. [context of clinical decision-making biases]</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13.  </w:t>
      </w:r>
      <w:r>
        <w:rPr>
          <w:rFonts w:ascii="Times New Roman" w:cs="Times New Roman" w:eastAsia="Times New Roman" w:hAnsi="Times New Roman"/>
          <w:b w:val="false"/>
          <w:bCs w:val="false"/>
          <w:i w:val="false"/>
          <w:iCs w:val="false"/>
          <w:color w:val="1A1A1A"/>
          <w:sz w:val="18"/>
          <w:szCs w:val="18"/>
        </w:rPr>
        <w:t xml:space="preserve">Chua KP, Fischer MA, Linder JA. Appropriateness of outpatient antibiotic prescribing among privately insured US patients. BMJ. 2019;364:k5092.</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14.  </w:t>
      </w:r>
      <w:r>
        <w:rPr>
          <w:rFonts w:ascii="Times New Roman" w:cs="Times New Roman" w:eastAsia="Times New Roman" w:hAnsi="Times New Roman"/>
          <w:b w:val="false"/>
          <w:bCs w:val="false"/>
          <w:i w:val="false"/>
          <w:iCs w:val="false"/>
          <w:color w:val="1A1A1A"/>
          <w:sz w:val="18"/>
          <w:szCs w:val="18"/>
        </w:rPr>
        <w:t xml:space="preserve">Dellit TH, Owens RC, McGowan JE Jr, et al. IDSA and SHEA Guidelines for Developing an Institutional Program to Enhance Antimicrobial Stewardship. Clin Infect Dis. 2007;44(2):159-177.</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15.  </w:t>
      </w:r>
      <w:r>
        <w:rPr>
          <w:rFonts w:ascii="Times New Roman" w:cs="Times New Roman" w:eastAsia="Times New Roman" w:hAnsi="Times New Roman"/>
          <w:b w:val="false"/>
          <w:bCs w:val="false"/>
          <w:i w:val="false"/>
          <w:iCs w:val="false"/>
          <w:color w:val="1A1A1A"/>
          <w:sz w:val="18"/>
          <w:szCs w:val="18"/>
        </w:rPr>
        <w:t xml:space="preserve">Murray CJ, Ikuta KS, Sharara F, et al. Global burden of bacterial antimicrobial resistance in 2019: a systematic analysis. Lancet. 2022;399(10325):629-655.</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16.  </w:t>
      </w:r>
      <w:r>
        <w:rPr>
          <w:rFonts w:ascii="Times New Roman" w:cs="Times New Roman" w:eastAsia="Times New Roman" w:hAnsi="Times New Roman"/>
          <w:b w:val="false"/>
          <w:bCs w:val="false"/>
          <w:i w:val="false"/>
          <w:iCs w:val="false"/>
          <w:color w:val="1A1A1A"/>
          <w:sz w:val="18"/>
          <w:szCs w:val="18"/>
        </w:rPr>
        <w:t xml:space="preserve">Tamma PD, Avdic E, Li DX, et al. Association of Adverse Events With Antibiotic Use in Hospitalized Patients. JAMA Intern Med. 2017;177(9):1308-1315.</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17.  </w:t>
      </w:r>
      <w:r>
        <w:rPr>
          <w:rFonts w:ascii="Times New Roman" w:cs="Times New Roman" w:eastAsia="Times New Roman" w:hAnsi="Times New Roman"/>
          <w:b w:val="false"/>
          <w:bCs w:val="false"/>
          <w:i w:val="false"/>
          <w:iCs w:val="false"/>
          <w:color w:val="1A1A1A"/>
          <w:sz w:val="18"/>
          <w:szCs w:val="18"/>
        </w:rPr>
        <w:t xml:space="preserve">Cosgrove SE, Hermsen ED, Rybak MJ, et al. Guidance for the Knowledge and Skills Required for Antimicrobial Stewardship Leaders. Infect Control Hosp Epidemiol. 2014;35(12):1444-1451.</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18.  </w:t>
      </w:r>
      <w:r>
        <w:rPr>
          <w:rFonts w:ascii="Times New Roman" w:cs="Times New Roman" w:eastAsia="Times New Roman" w:hAnsi="Times New Roman"/>
          <w:b w:val="false"/>
          <w:bCs w:val="false"/>
          <w:i w:val="false"/>
          <w:iCs w:val="false"/>
          <w:color w:val="1A1A1A"/>
          <w:sz w:val="18"/>
          <w:szCs w:val="18"/>
        </w:rPr>
        <w:t xml:space="preserve">Baur D, Gladstone BP, Burkert F, et al. Effect of antibiotic stewardship on the incidence of infection and colonisation with antibiotic-resistant bacteria and Clostridium difficile infection. Lancet Infect Dis. 2017;17(9):990-1001.</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19.  </w:t>
      </w:r>
      <w:r>
        <w:rPr>
          <w:rFonts w:ascii="Times New Roman" w:cs="Times New Roman" w:eastAsia="Times New Roman" w:hAnsi="Times New Roman"/>
          <w:b w:val="false"/>
          <w:bCs w:val="false"/>
          <w:i w:val="false"/>
          <w:iCs w:val="false"/>
          <w:color w:val="1A1A1A"/>
          <w:sz w:val="18"/>
          <w:szCs w:val="18"/>
        </w:rPr>
        <w:t xml:space="preserve">Prescott H, Antonelli M, Alhazzani W, et al. Surviving Sepsis Campaign: International Guidelines for Management of Sepsis and Septic Shock 2026. Crit Care Med. 2026. doi:10.1097/CCM.0000000000007075</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20.  </w:t>
      </w:r>
      <w:r>
        <w:rPr>
          <w:rFonts w:ascii="Times New Roman" w:cs="Times New Roman" w:eastAsia="Times New Roman" w:hAnsi="Times New Roman"/>
          <w:b w:val="false"/>
          <w:bCs w:val="false"/>
          <w:i w:val="false"/>
          <w:iCs w:val="false"/>
          <w:color w:val="1A1A1A"/>
          <w:sz w:val="18"/>
          <w:szCs w:val="18"/>
        </w:rPr>
        <w:t xml:space="preserve">Evans L, Rhodes A, Alhazzani W, et al. Surviving Sepsis Campaign: International Guidelines for Management of Sepsis and Septic Shock 2021. Crit Care Med. 2021;49(11):e1063-e1143.</w:t>
      </w:r>
    </w:p>
    <w:sectPr>
      <w:headerReference w:type="default" r:id="rId7"/>
      <w:headerReference w:type="first" r:id="rId8"/>
      <w:footerReference w:type="default" r:id="rId9"/>
      <w:footerReference w:type="first" r:id="rId10"/>
      <w:pgSz w:w="8391" w:h="11906" w:orient="portrait"/>
      <w:pgMar w:top="851" w:right="851" w:bottom="851" w:left="851" w:header="708" w:footer="708" w:gutter="0"/>
      <w:pgNumType/>
      <w:titlePg/>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7D3C98" w:sz="4" w:space="1"/>
      </w:pBdr>
      <w:spacing w:after="0" w:before="80"/>
      <w:jc w:val="center"/>
    </w:pPr>
    <w:r>
      <w:rPr>
        <w:rFonts w:ascii="Times New Roman" w:cs="Times New Roman" w:eastAsia="Times New Roman" w:hAnsi="Times New Roman"/>
        <w:b w:val="false"/>
        <w:bCs w:val="false"/>
        <w:i w:val="false"/>
        <w:iCs w:val="false"/>
        <w:color w:val="7D3C98"/>
        <w:sz w:val="14"/>
        <w:szCs w:val="14"/>
      </w:rPr>
      <w:t xml:space="preserve">Edisi 1, 2026  |  Verifikasi ke sumber primer sebelum diterapkan  |  saweria.co/haridiva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r>
      <w:rPr>
        <w:rFonts w:ascii="Times New Roman" w:cs="Times New Roman" w:eastAsia="Times New Roman" w:hAnsi="Times New Roman"/>
        <w:b w:val="false"/>
        <w:bCs w:val="false"/>
        <w:i w:val="false"/>
        <w:iCs w:val="false"/>
        <w:color w:val="1A1A1A"/>
        <w:sz w:val="20"/>
        <w:szCs w:val="20"/>
      </w:rPr>
      <w:t xml:space="preserv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7D3C98" w:sz="4" w:space="1"/>
      </w:pBdr>
      <w:spacing w:after="80" w:before="0"/>
      <w:jc w:val="center"/>
    </w:pPr>
    <w:r>
      <w:rPr>
        <w:rFonts w:ascii="Times New Roman" w:cs="Times New Roman" w:eastAsia="Times New Roman" w:hAnsi="Times New Roman"/>
        <w:b w:val="false"/>
        <w:bCs w:val="false"/>
        <w:i/>
        <w:iCs/>
        <w:color w:val="7D3C98"/>
        <w:sz w:val="14"/>
        <w:szCs w:val="14"/>
      </w:rPr>
      <w:t xml:space="preserve">Buku Saku PGA untuk Dokter  |  dr. Putu Cahya Legawa</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r>
      <w:rPr>
        <w:rFonts w:ascii="Times New Roman" w:cs="Times New Roman" w:eastAsia="Times New Roman" w:hAnsi="Times New Roman"/>
        <w:b w:val="false"/>
        <w:bCs w:val="false"/>
        <w:i w:val="false"/>
        <w:iCs w:val="false"/>
        <w:color w:val="1A1A1A"/>
        <w:sz w:val="20"/>
        <w:szCs w:val="20"/>
      </w:rPr>
      <w:t xml:space="preserv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80" w:hanging="240"/>
      </w:pPr>
    </w:lvl>
  </w:abstractNum>
  <w:abstractNum w:abstractNumId="3" w15:restartNumberingAfterBreak="0">
    <w:multiLevelType w:val="hybridMultilevel"/>
    <w:lvl w:ilvl="0" w15:tentative="1">
      <w:start w:val="1"/>
      <w:numFmt w:val="decimal"/>
      <w:lvlText w:val="%1."/>
      <w:lvlJc w:val="left"/>
      <w:pPr>
        <w:ind w:left="480" w:hanging="24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cs="Times New Roman" w:eastAsia="Times New Roman" w:hAnsi="Times New Roman"/>
        <w:color w:val="1A1A1A"/>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pPr>
      <w:spacing w:after="140" w:before="0"/>
      <w:outlineLvl w:val="0"/>
    </w:pPr>
    <w:rPr>
      <w:rFonts w:ascii="Arial" w:cs="Arial" w:eastAsia="Arial" w:hAnsi="Arial"/>
      <w:b/>
      <w:bCs/>
      <w:color w:val="4A235A"/>
      <w:sz w:val="28"/>
      <w:szCs w:val="28"/>
    </w:rPr>
  </w:style>
  <w:style w:type="paragraph" w:styleId="Heading2">
    <w:name w:val="Heading 2"/>
    <w:basedOn w:val="Normal"/>
    <w:next w:val="Normal"/>
    <w:pPr>
      <w:spacing w:after="100" w:before="200"/>
      <w:outlineLvl w:val="1"/>
    </w:pPr>
    <w:rPr>
      <w:rFonts w:ascii="Arial" w:cs="Arial" w:eastAsia="Arial" w:hAnsi="Arial"/>
      <w:b/>
      <w:bCs/>
      <w:color w:val="7D3C98"/>
      <w:sz w:val="24"/>
      <w:szCs w:val="24"/>
    </w:rPr>
  </w:style>
  <w:style w:type="paragraph" w:styleId="Heading3">
    <w:name w:val="Heading 3"/>
    <w:basedOn w:val="Normal"/>
    <w:next w:val="Normal"/>
    <w:pPr>
      <w:spacing w:after="80" w:before="160"/>
      <w:outlineLvl w:val="2"/>
    </w:pPr>
    <w:rPr>
      <w:rFonts w:ascii="Arial" w:cs="Arial" w:eastAsia="Arial" w:hAnsi="Arial"/>
      <w:b/>
      <w:bCs/>
      <w:color w:val="4A235A"/>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 Id="rId11"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er2.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word/_rels/header2.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2026-06-11T22:34:14.620Z</dcterms:created>
  <dcterms:modified xsi:type="dcterms:W3CDTF">2026-06-11T22:34:14.635Z</dcterms:modified>
</cp:coreProperties>
</file>

<file path=docProps/custom.xml><?xml version="1.0" encoding="utf-8"?>
<Properties xmlns="http://schemas.openxmlformats.org/officeDocument/2006/custom-properties" xmlns:vt="http://schemas.openxmlformats.org/officeDocument/2006/docPropsVTypes"/>
</file>