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footer+xml" PartName="/word/footer1.xml"/>
  <Override ContentType="application/vnd.openxmlformats-officedocument.wordprocessingml.footer+xml" PartName="/word/footer2.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40" w:before="0"/>
        <w:jc w:val="center"/>
      </w:pPr>
      <w:r>
        <w:rPr>
          <w:rFonts w:ascii="Arial" w:cs="Arial" w:eastAsia="Arial" w:hAnsi="Arial"/>
          <w:b/>
          <w:bCs/>
          <w:i w:val="false"/>
          <w:iCs w:val="false"/>
          <w:color w:val="922B21"/>
          <w:sz w:val="20"/>
          <w:szCs w:val="20"/>
        </w:rPr>
        <w:t xml:space="preserve">SERI BUKU SAKU PPRA INDONESIA</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0"/>
        <w:jc w:val="center"/>
      </w:pPr>
      <w:r>
        <w:rPr>
          <w:rFonts w:ascii="Arial" w:cs="Arial" w:eastAsia="Arial" w:hAnsi="Arial"/>
          <w:b/>
          <w:bCs/>
          <w:i w:val="false"/>
          <w:iCs w:val="false"/>
          <w:color w:val="641E16"/>
          <w:sz w:val="36"/>
          <w:szCs w:val="36"/>
        </w:rPr>
        <w:t xml:space="preserve">BUKU SAKU</w:t>
      </w:r>
    </w:p>
    <w:p>
      <w:pPr>
        <w:spacing w:after="20" w:before="0"/>
        <w:jc w:val="center"/>
      </w:pPr>
      <w:r>
        <w:rPr>
          <w:rFonts w:ascii="Arial" w:cs="Arial" w:eastAsia="Arial" w:hAnsi="Arial"/>
          <w:b/>
          <w:bCs/>
          <w:i w:val="false"/>
          <w:iCs w:val="false"/>
          <w:color w:val="641E16"/>
          <w:sz w:val="42"/>
          <w:szCs w:val="42"/>
        </w:rPr>
        <w:t xml:space="preserve">PROFILAKSIS</w:t>
      </w:r>
    </w:p>
    <w:p>
      <w:pPr>
        <w:spacing w:after="20" w:before="0"/>
        <w:jc w:val="center"/>
      </w:pPr>
      <w:r>
        <w:rPr>
          <w:rFonts w:ascii="Arial" w:cs="Arial" w:eastAsia="Arial" w:hAnsi="Arial"/>
          <w:b/>
          <w:bCs/>
          <w:i w:val="false"/>
          <w:iCs w:val="false"/>
          <w:color w:val="922B21"/>
          <w:sz w:val="42"/>
          <w:szCs w:val="42"/>
        </w:rPr>
        <w:t xml:space="preserve">ANTIBIOTIK BEDAH</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60" w:before="60"/>
        <w:jc w:val="center"/>
      </w:pPr>
      <w:r>
        <w:rPr>
          <w:rFonts w:ascii="Times New Roman" w:cs="Times New Roman" w:eastAsia="Times New Roman" w:hAnsi="Times New Roman"/>
          <w:b w:val="false"/>
          <w:bCs w:val="false"/>
          <w:i/>
          <w:iCs/>
          <w:color w:val="922B21"/>
          <w:sz w:val="20"/>
          <w:szCs w:val="20"/>
        </w:rPr>
        <w:t xml:space="preserve">Panduan Pemilihan, Waktu, Dosis, dan Penghentian Antibiotik Perioperatif</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641E16"/>
          <w:sz w:val="28"/>
          <w:szCs w:val="28"/>
        </w:rPr>
        <w:t xml:space="preserve">dr. Putu Cahya Legawa</w:t>
      </w:r>
    </w:p>
    <w:p>
      <w:pPr>
        <w:spacing w:after="20" w:before="0"/>
        <w:jc w:val="center"/>
      </w:pPr>
      <w:r>
        <w:rPr>
          <w:rFonts w:ascii="Times New Roman" w:cs="Times New Roman" w:eastAsia="Times New Roman" w:hAnsi="Times New Roman"/>
          <w:b w:val="false"/>
          <w:bCs w:val="false"/>
          <w:i/>
          <w:iCs/>
          <w:color w:val="922B21"/>
          <w:sz w:val="20"/>
          <w:szCs w:val="20"/>
        </w:rPr>
        <w:t xml:space="preserve">Dokter Umum | Praktisi PPRA</w:t>
      </w:r>
    </w:p>
    <w:p>
      <w:pPr>
        <w:spacing w:after="32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20" w:before="60"/>
        <w:jc w:val="center"/>
      </w:pPr>
      <w:r>
        <w:rPr>
          <w:rFonts w:ascii="Times New Roman" w:cs="Times New Roman" w:eastAsia="Times New Roman" w:hAnsi="Times New Roman"/>
          <w:b w:val="false"/>
          <w:bCs w:val="false"/>
          <w:i w:val="false"/>
          <w:iCs w:val="false"/>
          <w:color w:val="1A1A1A"/>
          <w:sz w:val="20"/>
          <w:szCs w:val="20"/>
        </w:rPr>
        <w:t xml:space="preserve">Edisi 1 — 2026</w:t>
      </w:r>
    </w:p>
    <w:p>
      <w:pPr>
        <w:spacing w:after="0" w:before="0"/>
        <w:jc w:val="center"/>
      </w:pPr>
      <w:r>
        <w:rPr>
          <w:rFonts w:ascii="Times New Roman" w:cs="Times New Roman" w:eastAsia="Times New Roman" w:hAnsi="Times New Roman"/>
          <w:b w:val="false"/>
          <w:bCs w:val="false"/>
          <w:i w:val="false"/>
          <w:iCs w:val="false"/>
          <w:color w:val="922B21"/>
          <w:sz w:val="20"/>
          <w:szCs w:val="20"/>
        </w:rPr>
        <w:t xml:space="preserve">legawa.com</w:t>
      </w:r>
    </w:p>
    <w:p>
      <w:r>
        <w:br w:type="page"/>
      </w:r>
    </w:p>
    <w:p>
      <w:pPr>
        <w:spacing w:after="80" w:before="80"/>
        <w:jc w:val="center"/>
      </w:pPr>
      <w:r>
        <w:rPr>
          <w:rFonts w:ascii="Arial" w:cs="Arial" w:eastAsia="Arial" w:hAnsi="Arial"/>
          <w:b/>
          <w:bCs/>
          <w:i w:val="false"/>
          <w:iCs w:val="false"/>
          <w:color w:val="641E16"/>
          <w:sz w:val="22"/>
          <w:szCs w:val="22"/>
        </w:rPr>
        <w:t xml:space="preserve">PERNYATAAN DAN KETENTUAN PENGGUNAAN</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PENTING — BACA SEBELUM MENGGUNAKAN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Buku saku ini disediakan sebagaimana adanya ("as is"). Informasi disusun berdasarkan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WHO AWaRe Antibiotic Book 2023, WHO SSI Prevention Guidelines 2018, ASHP Surgical</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Prophylaxis Guidelines 2022, Permenkes 28/2021, dan PPAB RS berlaku pada 2026.</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Sesuaikan selalu dengan antibiogram lokal dan kebijakan institusi masing-masing.</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Pengguna dianjurkan memverifikasi seluruh informasi ke sumber primer yang tercantum dalam Daftar Pustaka. Rekomendasi dalam buku ini bersifat panduan umum dan tidak menggantikan penilaian klinis, kebijakan komite bedah, maupun panduan PPAB institusi setempat.</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Penulis tidak bertanggung jawab atas konsekuensi klinis dari penerapan langsung informasi dalam buku ini tanpa verifikasi kontekstual yang memadai.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center"/>
      </w:pPr>
      <w:r>
        <w:rPr>
          <w:rFonts w:ascii="Times New Roman" w:cs="Times New Roman" w:eastAsia="Times New Roman" w:hAnsi="Times New Roman"/>
          <w:b w:val="false"/>
          <w:bCs w:val="false"/>
          <w:i w:val="false"/>
          <w:iCs w:val="false"/>
          <w:color w:val="1A1A1A"/>
          <w:sz w:val="20"/>
          <w:szCs w:val="20"/>
        </w:rPr>
        <w:t xml:space="preserve">Hak Cipta © 2026 dr. Putu Cahya Legawa. Bebas disalin untuk keperluan pendidikan non-komersial dengan menyebut sumber.</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DUKUNG PENULIS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Jika buku saku ini bermanfaat, dukung penulis secara sukarela: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saweria.co/haridiva          |          legawa.com</w:t>
            </w:r>
          </w:p>
        </w:tc>
      </w:tr>
    </w:tbl>
    <w:p>
      <w:pPr>
        <w:pStyle w:val="Heading1"/>
        <w:pageBreakBefore/>
        <w:spacing w:after="140" w:before="0"/>
      </w:pPr>
      <w:r>
        <w:rPr>
          <w:rFonts w:ascii="Arial" w:cs="Arial" w:eastAsia="Arial" w:hAnsi="Arial"/>
          <w:b/>
          <w:bCs/>
          <w:i w:val="false"/>
          <w:iCs w:val="false"/>
          <w:color w:val="641E16"/>
          <w:sz w:val="28"/>
          <w:szCs w:val="28"/>
        </w:rPr>
        <w:t xml:space="preserve">KATA PENGANTAR</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Infeksi Luka Operasi (Surgical Site Infection / SSI) merupakan komplikasi pasca-bedah yang paling sering ditemukan dan paling dapat dicegah. Data global menunjukkan SSI menyumbang 20-30% dari semua infeksi terkait pelayanan kesehatan (HAI), memperpanjang lama rawat rata-rata 7-10 hari, dan meningkatkan biaya perawatan secara signifikan. Ironisnya, sebagian besar kasus SSI sebenarnya dapat dicegah — salah satunya melalui profilaksis antibiotik bedah (PAB) yang tepat.</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Profilaksis antibiotik bedah bukan sekadar "memberi antibiotik sebelum operasi". PAB yang efektif mencakup empat unsur yang tak boleh dipisahkan: tepat indikasi, tepat pilihan antibiotik, tepat waktu pemberian (30-60 menit sebelum insisi), dan tepat durasi (dihentikan dalam 24 jam pascaoperasi). Keempat unsur ini sama pentingnya — PAB yang tepat jenis namun salah waktu sama tidak efektifnya dengan tidak memberikan PAB sama sekali. PAB yang tepat namun dilanjutkan lebih dari 24 jam bukan lagi profilaksis, melainkan penggunaan antibiotik yang tidak tepat yang berkontribusi pada resistensi.</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Buku saku ini disusun sebagai panduan praktis bagi dokter bedah, dokter anestesi, perawat kamar operasi, dan apoteker klinis dalam menerapkan PAB yang berbasis bukti dan sesuai regulasi nasional. Seluruh rekomendasi mengacu pada WHO AWaRe Antibiotic Book 2023, WHO Global Guidelines for Prevention of SSI 2018, ASHP Clinical Practice Guidelines on Antimicrobial Prophylaxis in Surgery, Permenkes No. 28 Tahun 2021, serta Panduan Penggunaan Antimikroba (PPAB) yang telah ditetapkan di masing-masing institusi.</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Sragen, Juni 2026</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val="false"/>
          <w:bCs w:val="false"/>
          <w:i w:val="false"/>
          <w:iCs w:val="false"/>
          <w:color w:val="1A1A1A"/>
          <w:sz w:val="20"/>
          <w:szCs w:val="20"/>
        </w:rPr>
        <w:t xml:space="preserve">Penulis,</w:t>
      </w:r>
    </w:p>
    <w:p>
      <w:pPr>
        <w:spacing w:after="16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right"/>
      </w:pPr>
      <w:r>
        <w:rPr>
          <w:rFonts w:ascii="Times New Roman" w:cs="Times New Roman" w:eastAsia="Times New Roman" w:hAnsi="Times New Roman"/>
          <w:b/>
          <w:bCs/>
          <w:i w:val="false"/>
          <w:iCs w:val="false"/>
          <w:color w:val="1A1A1A"/>
          <w:sz w:val="20"/>
          <w:szCs w:val="20"/>
        </w:rPr>
        <w:t xml:space="preserve">dr. Putu Cahya Legawa</w:t>
      </w:r>
    </w:p>
    <w:p>
      <w:pPr>
        <w:pStyle w:val="Heading1"/>
        <w:pageBreakBefore/>
        <w:spacing w:after="140" w:before="0"/>
      </w:pPr>
      <w:r>
        <w:rPr>
          <w:rFonts w:ascii="Arial" w:cs="Arial" w:eastAsia="Arial" w:hAnsi="Arial"/>
          <w:b/>
          <w:bCs/>
          <w:i w:val="false"/>
          <w:iCs w:val="false"/>
          <w:color w:val="641E16"/>
          <w:sz w:val="28"/>
          <w:szCs w:val="28"/>
        </w:rPr>
        <w:t xml:space="preserve">TENTANG PENULIS</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20" w:before="40"/>
        <w:jc w:val="center"/>
      </w:pPr>
      <w:r>
        <w:rPr>
          <w:rFonts w:ascii="Arial" w:cs="Arial" w:eastAsia="Arial" w:hAnsi="Arial"/>
          <w:b/>
          <w:bCs/>
          <w:i w:val="false"/>
          <w:iCs w:val="false"/>
          <w:color w:val="641E16"/>
          <w:sz w:val="26"/>
          <w:szCs w:val="26"/>
        </w:rPr>
        <w:t xml:space="preserve">dr. Putu Cahya Legawa</w:t>
      </w:r>
    </w:p>
    <w:p>
      <w:pPr>
        <w:spacing w:after="80" w:before="0"/>
        <w:jc w:val="center"/>
      </w:pPr>
      <w:r>
        <w:rPr>
          <w:rFonts w:ascii="Times New Roman" w:cs="Times New Roman" w:eastAsia="Times New Roman" w:hAnsi="Times New Roman"/>
          <w:b w:val="false"/>
          <w:bCs w:val="false"/>
          <w:i/>
          <w:iCs/>
          <w:color w:val="922B21"/>
          <w:sz w:val="20"/>
          <w:szCs w:val="20"/>
        </w:rPr>
        <w:t xml:space="preserve">Dokter Umum | Praktisi PPRA | Penulis Medis</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dr. Putu Cahya Legawa berpraktik sebagai dokter umum di RSU Sarila Husada dan Klinik Pratama Rawat Jalan Prasma Diagnostika, Sragen. Beliau aktif sebagai Wakil Ketua I Tim PRA RSU Sarila Husada, dengan pengalaman langsung dalam penyusunan PPAB, audit kepatuhan profilaksis bedah (K1-K4), dan implementasi automatic stop order.</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Platform</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Tautan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Blog / Portofolio</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legawa.com</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linkedin.com/in/haridiva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github.com/haridiva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Donasi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saweria.co/haridiva</w:t>
            </w:r>
          </w:p>
        </w:tc>
      </w:tr>
    </w:tbl>
    <w:p>
      <w:pPr>
        <w:pStyle w:val="Heading1"/>
        <w:pageBreakBefore/>
        <w:spacing w:after="140" w:before="0"/>
      </w:pPr>
      <w:r>
        <w:rPr>
          <w:rFonts w:ascii="Arial" w:cs="Arial" w:eastAsia="Arial" w:hAnsi="Arial"/>
          <w:b/>
          <w:bCs/>
          <w:i w:val="false"/>
          <w:iCs w:val="false"/>
          <w:color w:val="641E16"/>
          <w:sz w:val="28"/>
          <w:szCs w:val="28"/>
        </w:rPr>
        <w:t xml:space="preserve">DAFTAR SINGKATAN</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Singkatan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Kepanjangan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ASO</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Automatic Stop Order (Penghentian Otomatis)</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ASHP</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American Society of Health-System Pharmacists</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AWaRe</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 Watch, Reserve (Klasifikasi Antibiotik WHO)</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BMI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Body Mass Index</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CDI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Clostridioides difficile Infection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CrCl</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Creatinine Clearance (Klirens Kreatinin)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Healthcare-Associated Infection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ILO</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Luka Operasi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IV</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Intravena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KBB</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Kilogram Berat Badan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MRSA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Methicillin-Resistant Staphylococcus aureus</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Kamar Operasi (Operating Theater)</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PAB</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Antibiotik Bedah</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PGA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Penatagunaan Antimikroba (Antimicrobial Stewardship)</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PPAB</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Panduan Penggunaan Antimikroba Bedah (dokumen institusi)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PPRA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Program Pengendalian Resistensi Antimikroba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SC</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Sectio Caesarea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Surgical Site Infection (Infeksi Luka Operasi)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TURP</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Trans-Urethral Resection of the Prostate</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WHO</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World Health Organization</w:t>
            </w:r>
          </w:p>
        </w:tc>
      </w:tr>
    </w:tbl>
    <w:p>
      <w:pPr>
        <w:pageBreakBefore/>
        <w:spacing w:after="20" w:before="0"/>
      </w:pPr>
      <w:r>
        <w:rPr>
          <w:rFonts w:ascii="Arial" w:cs="Arial" w:eastAsia="Arial" w:hAnsi="Arial"/>
          <w:b/>
          <w:bCs/>
          <w:i w:val="false"/>
          <w:iCs w:val="false"/>
          <w:color w:val="922B21"/>
          <w:sz w:val="20"/>
          <w:szCs w:val="20"/>
        </w:rPr>
        <w:t xml:space="preserve">BAB 1</w:t>
      </w:r>
    </w:p>
    <w:p>
      <w:pPr>
        <w:pStyle w:val="Heading1"/>
        <w:spacing w:after="100" w:before="0"/>
      </w:pPr>
      <w:r>
        <w:rPr>
          <w:rFonts w:ascii="Arial" w:cs="Arial" w:eastAsia="Arial" w:hAnsi="Arial"/>
          <w:b/>
          <w:bCs/>
          <w:i w:val="false"/>
          <w:iCs w:val="false"/>
          <w:color w:val="641E16"/>
          <w:sz w:val="28"/>
          <w:szCs w:val="28"/>
        </w:rPr>
        <w:t xml:space="preserve">DASAR ILMIAH PROFILAKSIS ANTIBIOTIK BEDAH</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922B21"/>
          <w:sz w:val="24"/>
          <w:szCs w:val="24"/>
        </w:rPr>
        <w:t xml:space="preserve">1.1 Mengapa PAB Diperlukan?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SSI terjadi ketika mikroorganisme dari flora endogen pasien atau lingkungan OR mengontaminasi luka operasi dan berhasil berkembang biak. PAB bertujuan menciptakan konsentrasi antibiotik yang adekuat di jaringan pada saat insisi pertama, sehingga membunuh atau menghambat mikroba sebelum mereka berkembang biak.</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Bukti ilmiah selama lebih dari 5 dekade menunjukkan PAB yang tepat mengurangi kejadian SSI sebesar 40-80% pada jenis operasi yang tepat. Namun PAB yang berlebihan atau tidak tepat memberikan manfaat nol sekaligus meningkatkan risiko resistensi antimikroba dan CDI.</w:t>
      </w:r>
    </w:p>
    <w:p>
      <w:pPr>
        <w:pStyle w:val="Heading2"/>
        <w:spacing w:after="100" w:before="200"/>
      </w:pPr>
      <w:r>
        <w:rPr>
          <w:rFonts w:ascii="Arial" w:cs="Arial" w:eastAsia="Arial" w:hAnsi="Arial"/>
          <w:b/>
          <w:bCs/>
          <w:i w:val="false"/>
          <w:iCs w:val="false"/>
          <w:color w:val="922B21"/>
          <w:sz w:val="24"/>
          <w:szCs w:val="24"/>
        </w:rPr>
        <w:t xml:space="preserve">1.2 PAB bukan Terapi dan bukan Pencegahan Infeksi Pasca-Operasi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KUNCI: Profilaksis ≠ Terapi.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PAB mencegah kontaminasi bakteri SELAMA operasi menjadi infeksi klinis.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PAB TIDAK mencegah infeksi yang timbul pasca-operasi dari sumber lain.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PAB TIDAK perlu dilanjutkan setelah luka operasi tertutup dan drainase dilepas.</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Melanjutkan antibiotik lebih dari 24 jam dengan alasan "berjaga-jaga" adalah</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penggunaan tidak tepat yang meningkatkan risiko resistensi dan CDI tanpa manfaat.</w:t>
            </w:r>
          </w:p>
        </w:tc>
      </w:tr>
    </w:tbl>
    <w:p>
      <w:pPr>
        <w:pStyle w:val="Heading2"/>
        <w:spacing w:after="100" w:before="200"/>
      </w:pPr>
      <w:r>
        <w:rPr>
          <w:rFonts w:ascii="Arial" w:cs="Arial" w:eastAsia="Arial" w:hAnsi="Arial"/>
          <w:b/>
          <w:bCs/>
          <w:i w:val="false"/>
          <w:iCs w:val="false"/>
          <w:color w:val="922B21"/>
          <w:sz w:val="24"/>
          <w:szCs w:val="24"/>
        </w:rPr>
        <w:t xml:space="preserve">1.3 Antibiotik Profilaksis yang Ideal</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Kriteria</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Penjelasan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Aktif terhadap patogen yang kemungkinan besar mengkontaminasi luka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Patogen SSI paling umum: S. aureus, S. epidermidis (kulit), Enterobacteriaceae (GI/GU), Bacteroides (usus besar). Pilihan antibiotik disesuaikan dengan situs anatomi.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Spektrum sesempit mungkin (ACCESS first)</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Hindari karbapenem atau fluorokuinolon sebagai profilaksis rutin — tidak ada bukti lebih baik dari cefazolin untuk sebagian besar prosedur.</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Diberikan pada waktu yang tepat</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Kadar puncak di jaringan harus tercapai pada saat insisi. Pemberian &gt; 120 menit sebelum insisi tidak efektif.</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sudah cukup untuk sebagian besar prosedur</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tambahan hanya jika operasi &gt; 2x waktu paruh antibiotik atau perdarahan &gt; 1.500 mL.</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mahal dan mudah tersedia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memenuhi semua kriteria ini — itulah mengapa menjadi pilihan utama hampir seluruh panduan internasional.</w:t>
            </w:r>
          </w:p>
        </w:tc>
      </w:tr>
    </w:tbl>
    <w:p>
      <w:pPr>
        <w:pageBreakBefore/>
        <w:spacing w:after="20" w:before="0"/>
      </w:pPr>
      <w:r>
        <w:rPr>
          <w:rFonts w:ascii="Arial" w:cs="Arial" w:eastAsia="Arial" w:hAnsi="Arial"/>
          <w:b/>
          <w:bCs/>
          <w:i w:val="false"/>
          <w:iCs w:val="false"/>
          <w:color w:val="922B21"/>
          <w:sz w:val="20"/>
          <w:szCs w:val="20"/>
        </w:rPr>
        <w:t xml:space="preserve">BAB 2</w:t>
      </w:r>
    </w:p>
    <w:p>
      <w:pPr>
        <w:pStyle w:val="Heading1"/>
        <w:spacing w:after="100" w:before="0"/>
      </w:pPr>
      <w:r>
        <w:rPr>
          <w:rFonts w:ascii="Arial" w:cs="Arial" w:eastAsia="Arial" w:hAnsi="Arial"/>
          <w:b/>
          <w:bCs/>
          <w:i w:val="false"/>
          <w:iCs w:val="false"/>
          <w:color w:val="641E16"/>
          <w:sz w:val="28"/>
          <w:szCs w:val="28"/>
        </w:rPr>
        <w:t xml:space="preserve">KLASIFIKASI LUKA OPERASI DAN INDIKASI PAB</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922B21"/>
          <w:sz w:val="24"/>
          <w:szCs w:val="24"/>
        </w:rPr>
        <w:t xml:space="preserve">2.1 Klasifikasi Luka Operasi Altemeier</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Klasifikasi Altemeier (1955, dimodifikasi CDC) mengelompokkan luka operasi berdasarkan derajat kontaminasi potensial. Klasifikasi ini menentukan apakah PAB diindikasikan dan berapa lama diberikan.</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900"/>
        <w:gridCol w:w="1700"/>
        <w:gridCol w:w="1500"/>
        <w:gridCol w:w="1000"/>
        <w:gridCol w:w="1589"/>
      </w:tblGrid>
      <w:tr>
        <w:trPr>
          <w:tblHeader/>
        </w:trPr>
        <w:tc>
          <w:tcPr>
            <w:tcW w:type="dxa" w:w="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Kelas</w:t>
            </w:r>
          </w:p>
        </w:tc>
        <w:tc>
          <w:tcPr>
            <w:tcW w:type="dxa" w:w="17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Karakteristik</w:t>
            </w:r>
          </w:p>
        </w:tc>
        <w:tc>
          <w:tcPr>
            <w:tcW w:type="dxa" w:w="15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Contoh Operasi</w:t>
            </w:r>
          </w:p>
        </w:tc>
        <w:tc>
          <w:tcPr>
            <w:tcW w:type="dxa" w:w="1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Indikasi PAB</w:t>
            </w:r>
          </w:p>
        </w:tc>
        <w:tc>
          <w:tcPr>
            <w:tcW w:type="dxa" w:w="15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AB</w:t>
            </w:r>
          </w:p>
        </w:tc>
      </w:tr>
      <w:tr>
        <w:tc>
          <w:tcPr>
            <w:tcW w:type="dxa" w:w="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Bersih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(Clean)</w:t>
            </w:r>
          </w:p>
        </w:tc>
        <w:tc>
          <w:tcPr>
            <w:tcW w:type="dxa" w:w="1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Tidak ada inflamasi akut.</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Saluran napas, cerna, GU, atau bilier TIDAK dibuka.</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Teknik aseptik sempurna.</w:t>
            </w:r>
          </w:p>
        </w:tc>
        <w:tc>
          <w:tcPr>
            <w:tcW w:type="dxa" w:w="1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Herniorrafi, operasi tiroid, operasi payudara, artroplasti sendi, ORIF fraktur tertutup, laminektomi, operasi jantung</w:t>
            </w:r>
          </w:p>
        </w:tc>
        <w:tc>
          <w:tcPr>
            <w:tcW w:type="dxa" w:w="1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Opsional untuk risiko rendah.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WAJIB jika: implant prostetik, operasi jantung, atau pasien risiko tinggi</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1-2 g IV</w:t>
            </w:r>
          </w:p>
        </w:tc>
      </w:tr>
      <w:tr>
        <w:tc>
          <w:tcPr>
            <w:tcW w:type="dxa" w:w="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II</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Bersih-Terkontaminasi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(Clean-Contaminated)</w:t>
            </w:r>
          </w:p>
        </w:tc>
        <w:tc>
          <w:tcPr>
            <w:tcW w:type="dxa" w:w="1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Saluran napas, cerna, GU, atau bilier DIBUKA dalam kondisi terkontrol tanpa kontaminasi bermakna.</w:t>
            </w:r>
          </w:p>
        </w:tc>
        <w:tc>
          <w:tcPr>
            <w:tcW w:type="dxa" w:w="1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Kolesistektomi, histerektomi, apendektomi tanpa perforasi, gastrektomi, TURP, SC, reseksi usus halus</w:t>
            </w:r>
          </w:p>
        </w:tc>
        <w:tc>
          <w:tcPr>
            <w:tcW w:type="dxa" w:w="1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SELALU diindikasikan</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 Metronidazol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(tergantung situs)</w:t>
            </w:r>
          </w:p>
        </w:tc>
      </w:tr>
      <w:tr>
        <w:tc>
          <w:tcPr>
            <w:tcW w:type="dxa" w:w="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III</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Terkontaminasi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(Contaminated)</w:t>
            </w:r>
          </w:p>
        </w:tc>
        <w:tc>
          <w:tcPr>
            <w:tcW w:type="dxa" w:w="1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Kontaminasi bermakna dari saluran GI. Pelanggaran teknik aseptik besar. Luka terbuka traumatik segar (&lt; 4 jam).</w:t>
            </w:r>
          </w:p>
        </w:tc>
        <w:tc>
          <w:tcPr>
            <w:tcW w:type="dxa" w:w="1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Trauma usus baru, luka terbuka akut, operasi dengan kebocoran GI besar</w:t>
            </w:r>
          </w:p>
        </w:tc>
        <w:tc>
          <w:tcPr>
            <w:tcW w:type="dxa" w:w="1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SELALU diindikasikan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pre-op + pertimbangkan 24 jam)</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 Metronidazol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Amoksisilin-Klav</w:t>
            </w:r>
          </w:p>
        </w:tc>
      </w:tr>
      <w:tr>
        <w:tc>
          <w:tcPr>
            <w:tcW w:type="dxa" w:w="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IV</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Kotor/Terinfeksi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(Dirty/Infected)</w:t>
            </w:r>
          </w:p>
        </w:tc>
        <w:tc>
          <w:tcPr>
            <w:tcW w:type="dxa" w:w="1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Infeksi sudah ada sebelum operasi. Perforasi lama. Luka traumatik lama (&gt; 4 jam). Nekrosis jaringan.</w:t>
            </w:r>
          </w:p>
        </w:tc>
        <w:tc>
          <w:tcPr>
            <w:tcW w:type="dxa" w:w="1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Apendisitis perforasi, peritonitis lama, abses intraabdominal, luka traumatik lama</w:t>
            </w:r>
          </w:p>
        </w:tc>
        <w:tc>
          <w:tcPr>
            <w:tcW w:type="dxa" w:w="1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BUKAN profilaksis.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Ini adalah TERAPI definitif yang harus berlanjut sesuai kondisi klinis.</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Lihat panduan terapi empirik infeksi intraabdominal</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641E16" w:sz="1"/>
              <w:left w:val="single" w:color="641E16" w:sz="1"/>
              <w:bottom w:val="single" w:color="641E16" w:sz="1"/>
              <w:right w:val="single" w:color="641E16" w:sz="1"/>
            </w:tcBorders>
            <w:shd w:fill="FADBD8"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bCs/>
                <w:i w:val="false"/>
                <w:iCs w:val="false"/>
                <w:color w:val="1A1A1A"/>
                <w:sz w:val="18"/>
                <w:szCs w:val="18"/>
              </w:rPr>
              <w:t xml:space="preserve">PERINGATAN: Pada luka kelas IV (kotor/terinfeksi), pemberian antibiotik adalah TERAPI,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bukan profilaksis. Antibiotik dilanjutkan selama 4-7 hari pasca source control.</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Panduan pemilihan antibiotik berbeda dari PAB — lihat PPAB terapi institusi.</w:t>
            </w:r>
          </w:p>
        </w:tc>
      </w:tr>
    </w:tbl>
    <w:p>
      <w:pPr>
        <w:pageBreakBefore/>
        <w:spacing w:after="20" w:before="0"/>
      </w:pPr>
      <w:r>
        <w:rPr>
          <w:rFonts w:ascii="Arial" w:cs="Arial" w:eastAsia="Arial" w:hAnsi="Arial"/>
          <w:b/>
          <w:bCs/>
          <w:i w:val="false"/>
          <w:iCs w:val="false"/>
          <w:color w:val="922B21"/>
          <w:sz w:val="20"/>
          <w:szCs w:val="20"/>
        </w:rPr>
        <w:t xml:space="preserve">BAB 3</w:t>
      </w:r>
    </w:p>
    <w:p>
      <w:pPr>
        <w:pStyle w:val="Heading1"/>
        <w:spacing w:after="100" w:before="0"/>
      </w:pPr>
      <w:r>
        <w:rPr>
          <w:rFonts w:ascii="Arial" w:cs="Arial" w:eastAsia="Arial" w:hAnsi="Arial"/>
          <w:b/>
          <w:bCs/>
          <w:i w:val="false"/>
          <w:iCs w:val="false"/>
          <w:color w:val="641E16"/>
          <w:sz w:val="28"/>
          <w:szCs w:val="28"/>
        </w:rPr>
        <w:t xml:space="preserve">EMPAT PILAR PAB YANG BENAR</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Keempat pilar berikut harus terpenuhi secara bersamaan. Kegagalan satu pilar dapat mengurangi atau menghilangkan efektivitas profilaksis.</w:t>
      </w:r>
    </w:p>
    <w:p>
      <w:pPr>
        <w:pStyle w:val="Heading2"/>
        <w:spacing w:after="100" w:before="200"/>
      </w:pPr>
      <w:r>
        <w:rPr>
          <w:rFonts w:ascii="Arial" w:cs="Arial" w:eastAsia="Arial" w:hAnsi="Arial"/>
          <w:b/>
          <w:bCs/>
          <w:i w:val="false"/>
          <w:iCs w:val="false"/>
          <w:color w:val="922B21"/>
          <w:sz w:val="24"/>
          <w:szCs w:val="24"/>
        </w:rPr>
        <w:t xml:space="preserve">Pilar 1 — Tepat Indikasi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3300"/>
        <w:gridCol w:w="3389"/>
      </w:tblGrid>
      <w:tr>
        <w:trPr>
          <w:tblHeader/>
        </w:trPr>
        <w:tc>
          <w:tcPr>
            <w:tcW w:type="dxa" w:w="33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Indikasi PAB</w:t>
            </w:r>
          </w:p>
        </w:tc>
        <w:tc>
          <w:tcPr>
            <w:tcW w:type="dxa" w:w="33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Tidak Perlu PAB</w:t>
            </w:r>
          </w:p>
        </w:tc>
      </w:tr>
      <w:tr>
        <w:tc>
          <w:tcPr>
            <w:tcW w:type="dxa" w:w="33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Semua operasi kelas II (bersih-terkontaminasi)</w:t>
            </w:r>
          </w:p>
        </w:tc>
        <w:tc>
          <w:tcPr>
            <w:tcW w:type="dxa" w:w="33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kelas I tanpa faktor risiko dan tanpa implant prostetik</w:t>
            </w:r>
          </w:p>
        </w:tc>
      </w:tr>
      <w:tr>
        <w:tc>
          <w:tcPr>
            <w:tcW w:type="dxa" w:w="33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Semua operasi kelas I dengan implant prostetik (sendi, katup, mesh)</w:t>
            </w:r>
          </w:p>
        </w:tc>
        <w:tc>
          <w:tcPr>
            <w:tcW w:type="dxa" w:w="33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kelas I risiko rendah (&lt;30 menit, tanpa implant)</w:t>
            </w:r>
          </w:p>
        </w:tc>
      </w:tr>
      <w:tr>
        <w:tc>
          <w:tcPr>
            <w:tcW w:type="dxa" w:w="33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jantung (pericardium dibuka)</w:t>
            </w:r>
          </w:p>
        </w:tc>
        <w:tc>
          <w:tcPr>
            <w:tcW w:type="dxa" w:w="33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Prosedur minor endoskopik tanpa risiko kontaminasi bermakna</w:t>
            </w:r>
          </w:p>
        </w:tc>
      </w:tr>
      <w:tr>
        <w:tc>
          <w:tcPr>
            <w:tcW w:type="dxa" w:w="33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kelas III (kontaminasi bermakna)</w:t>
            </w:r>
          </w:p>
        </w:tc>
        <w:tc>
          <w:tcPr>
            <w:tcW w:type="dxa" w:w="33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kelas IV — di sini sudah terapi, bukan profilaksis</w:t>
            </w:r>
          </w:p>
        </w:tc>
      </w:tr>
      <w:tr>
        <w:tc>
          <w:tcPr>
            <w:tcW w:type="dxa" w:w="33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dengan faktor risiko SSI tinggi pada operasi kelas I: imunokompromais, DM tidak terkontrol, kolonisasi MRSA</w:t>
            </w:r>
          </w:p>
        </w:tc>
        <w:tc>
          <w:tcPr>
            <w:tcW w:type="dxa" w:w="33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kulit bersih superfisial tanpa faktor risiko</w:t>
            </w:r>
          </w:p>
        </w:tc>
      </w:tr>
    </w:tbl>
    <w:p>
      <w:pPr>
        <w:pStyle w:val="Heading2"/>
        <w:spacing w:after="100" w:before="200"/>
      </w:pPr>
      <w:r>
        <w:rPr>
          <w:rFonts w:ascii="Arial" w:cs="Arial" w:eastAsia="Arial" w:hAnsi="Arial"/>
          <w:b/>
          <w:bCs/>
          <w:i w:val="false"/>
          <w:iCs w:val="false"/>
          <w:color w:val="922B21"/>
          <w:sz w:val="24"/>
          <w:szCs w:val="24"/>
        </w:rPr>
        <w:t xml:space="preserve">Pilar 2 — Tepat Pilihan Antibiotik</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Cefazolin adalah antibiotik profilaksis pilihan untuk SEBAGIAN BESAR prosedur bedah karena mencakup Staphylococcus spp., Streptococcus spp., dan sebagian Enterobacteriaceae dengan efek samping rendah, stabil, dan murah. Hindari menggunakan antibiotik WATCH/RESERVE untuk profilaksis rutin.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2200"/>
        <w:gridCol w:w="2100"/>
        <w:gridCol w:w="118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Situasi</w:t>
            </w:r>
          </w:p>
        </w:tc>
        <w:tc>
          <w:tcPr>
            <w:tcW w:type="dxa" w:w="2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Utama</w:t>
            </w:r>
          </w:p>
        </w:tc>
        <w:tc>
          <w:tcPr>
            <w:tcW w:type="dxa" w:w="21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 (Alergi Penisilin)</w:t>
            </w:r>
          </w:p>
        </w:tc>
        <w:tc>
          <w:tcPr>
            <w:tcW w:type="dxa" w:w="11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Sebagian besar operasi bersih dan bersih-terkontaminasi</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1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11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Prosedur dengan risiko flora anaerob (kolorektal, ginekologi, GI)</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21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Metronidazol 500 mg + Gentamisin 5 mg/kgBB</w:t>
            </w:r>
          </w:p>
        </w:tc>
        <w:tc>
          <w:tcPr>
            <w:tcW w:type="dxa" w:w="11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kolonisasi MRSA (dikonfirmasi skrining)</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 Vankomisin 1-1,5 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(konsultasikan dengan Tim PRA)</w:t>
            </w:r>
          </w:p>
        </w:tc>
        <w:tc>
          <w:tcPr>
            <w:tcW w:type="dxa" w:w="21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 (saja atau + Metronidazol)</w:t>
            </w:r>
          </w:p>
        </w:tc>
        <w:tc>
          <w:tcPr>
            <w:tcW w:type="dxa" w:w="11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 + RESERVE</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bersih risiko rendah tanpa implant</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1-2 g IV dosis tunggal</w:t>
            </w:r>
          </w:p>
        </w:tc>
        <w:tc>
          <w:tcPr>
            <w:tcW w:type="dxa" w:w="21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600-900 mg IV</w:t>
            </w:r>
          </w:p>
        </w:tc>
        <w:tc>
          <w:tcPr>
            <w:tcW w:type="dxa" w:w="11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bl>
    <w:p>
      <w:pPr>
        <w:pStyle w:val="Heading2"/>
        <w:spacing w:after="100" w:before="200"/>
      </w:pPr>
      <w:r>
        <w:rPr>
          <w:rFonts w:ascii="Arial" w:cs="Arial" w:eastAsia="Arial" w:hAnsi="Arial"/>
          <w:b/>
          <w:bCs/>
          <w:i w:val="false"/>
          <w:iCs w:val="false"/>
          <w:color w:val="922B21"/>
          <w:sz w:val="24"/>
          <w:szCs w:val="24"/>
        </w:rPr>
        <w:t xml:space="preserve">Pilar 3 — Tepat Waktu</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Waktu pemberian adalah pilar paling sering dilanggar — sekaligus yang paling mudah diperbaiki. Antibiotik harus berada di jaringan dalam konsentrasi hambat minimum pada saat bakteri masuk ke luka.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600"/>
        <w:gridCol w:w="1800"/>
        <w:gridCol w:w="3289"/>
      </w:tblGrid>
      <w:tr>
        <w:trPr>
          <w:tblHeader/>
        </w:trPr>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Waktu Pemberian</w:t>
            </w:r>
          </w:p>
        </w:tc>
        <w:tc>
          <w:tcPr>
            <w:tcW w:type="dxa" w:w="18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Efektivitas</w:t>
            </w:r>
          </w:p>
        </w:tc>
        <w:tc>
          <w:tcPr>
            <w:tcW w:type="dxa" w:w="32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Rekomendasi</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0-30 menit sebelum insisi</w:t>
            </w:r>
          </w:p>
        </w:tc>
        <w:tc>
          <w:tcPr>
            <w:tcW w:type="dxa" w:w="1800"/>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Optimal — konsentrasi jaringan puncak</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TERBAIK — target utama</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31-60 menit sebelum insisi</w:t>
            </w:r>
          </w:p>
        </w:tc>
        <w:tc>
          <w:tcPr>
            <w:tcW w:type="dxa" w:w="1800"/>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Baik</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Masih direkomendasikan</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61-120 menit sebelum insisi</w:t>
            </w:r>
          </w:p>
        </w:tc>
        <w:tc>
          <w:tcPr>
            <w:tcW w:type="dxa" w:w="1800"/>
            <w:tcBorders>
              <w:top w:val="single" w:color="E8A09A" w:sz="1"/>
              <w:left w:val="single" w:color="E8A09A" w:sz="1"/>
              <w:bottom w:val="single" w:color="E8A09A" w:sz="1"/>
              <w:right w:val="single" w:color="E8A09A" w:sz="1"/>
            </w:tcBorders>
            <w:shd w:fill="FBE9E7"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Menurun</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Dihindari; hanya untuk obat dengan distribusi lambat (Vankomisin: infus 60-120 menit)</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120 menit sebelum insisi</w:t>
            </w:r>
          </w:p>
        </w:tc>
        <w:tc>
          <w:tcPr>
            <w:tcW w:type="dxa" w:w="1800"/>
            <w:tcBorders>
              <w:top w:val="single" w:color="E8A09A" w:sz="1"/>
              <w:left w:val="single" w:color="E8A09A" w:sz="1"/>
              <w:bottom w:val="single" w:color="E8A09A" w:sz="1"/>
              <w:right w:val="single" w:color="E8A09A"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efektif</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BOLEH — sama dengan tidak memberikan profilaksis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Setelah insisi/intraoperatif</w:t>
            </w:r>
          </w:p>
        </w:tc>
        <w:tc>
          <w:tcPr>
            <w:tcW w:type="dxa" w:w="1800"/>
            <w:tcBorders>
              <w:top w:val="single" w:color="E8A09A" w:sz="1"/>
              <w:left w:val="single" w:color="E8A09A" w:sz="1"/>
              <w:bottom w:val="single" w:color="E8A09A" w:sz="1"/>
              <w:right w:val="single" w:color="E8A09A"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efektif untuk profilaksis</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BOLEH — kontaminasi sudah terjadi</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Hanya pasca-operasi</w:t>
            </w:r>
          </w:p>
        </w:tc>
        <w:tc>
          <w:tcPr>
            <w:tcW w:type="dxa" w:w="1800"/>
            <w:tcBorders>
              <w:top w:val="single" w:color="E8A09A" w:sz="1"/>
              <w:left w:val="single" w:color="E8A09A" w:sz="1"/>
              <w:bottom w:val="single" w:color="E8A09A" w:sz="1"/>
              <w:right w:val="single" w:color="E8A09A" w:sz="1"/>
            </w:tcBorders>
            <w:shd w:fill="FFEBEE"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manfaat pencegahan SSI</w:t>
            </w:r>
          </w:p>
        </w:tc>
        <w:tc>
          <w:tcPr>
            <w:tcW w:type="dxa" w:w="32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KONTRAINDIKASI sebagai profilaksis</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PRAKTIS: Koordinasikan dengan dokter anestesi dan perawat OK.</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Standar ideal: antibiotik diberikan SETELAH pasien diposisikan di meja operasi,</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SEBELUM draping/prep kulit. Catat waktu pemberian di lembar anestesi.</w:t>
            </w:r>
          </w:p>
        </w:tc>
      </w:tr>
    </w:tbl>
    <w:p>
      <w:pPr>
        <w:pStyle w:val="Heading2"/>
        <w:spacing w:after="100" w:before="200"/>
      </w:pPr>
      <w:r>
        <w:rPr>
          <w:rFonts w:ascii="Arial" w:cs="Arial" w:eastAsia="Arial" w:hAnsi="Arial"/>
          <w:b/>
          <w:bCs/>
          <w:i w:val="false"/>
          <w:iCs w:val="false"/>
          <w:color w:val="922B21"/>
          <w:sz w:val="24"/>
          <w:szCs w:val="24"/>
        </w:rPr>
        <w:t xml:space="preserve">Pilar 4 — Tepat Durasi: Stop ≤ 24 Jam</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TIDAK ADA MANFAAT PAB LEBIH DARI 24 JAM.</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Perpanjangan PAB meningkatkan: resistensi antimikroba, risiko CDI, biaya perawatan.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Perpanjangan PAB TIDAK mengurangi SSI, TIDAK mencegah infeksi organ dalam.</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WHO (2018), ASHP (2022), dan Permenkes 28/2021 secara eksplisit menyatakan: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"Jangan melanjutkan pemberian antibiotik setelah operasi bedah untuk mencegah infeksi."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Satu-satunya pengecualian yang diakui: operasi kardiotoraks — maksimal 48 jam.</w:t>
            </w:r>
          </w:p>
        </w:tc>
      </w:tr>
    </w:tbl>
    <w:p>
      <w:pPr>
        <w:pageBreakBefore/>
        <w:spacing w:after="20" w:before="0"/>
      </w:pPr>
      <w:r>
        <w:rPr>
          <w:rFonts w:ascii="Arial" w:cs="Arial" w:eastAsia="Arial" w:hAnsi="Arial"/>
          <w:b/>
          <w:bCs/>
          <w:i w:val="false"/>
          <w:iCs w:val="false"/>
          <w:color w:val="922B21"/>
          <w:sz w:val="20"/>
          <w:szCs w:val="20"/>
        </w:rPr>
        <w:t xml:space="preserve">BAB 4</w:t>
      </w:r>
    </w:p>
    <w:p>
      <w:pPr>
        <w:pStyle w:val="Heading1"/>
        <w:spacing w:after="100" w:before="0"/>
      </w:pPr>
      <w:r>
        <w:rPr>
          <w:rFonts w:ascii="Arial" w:cs="Arial" w:eastAsia="Arial" w:hAnsi="Arial"/>
          <w:b/>
          <w:bCs/>
          <w:i w:val="false"/>
          <w:iCs w:val="false"/>
          <w:color w:val="641E16"/>
          <w:sz w:val="28"/>
          <w:szCs w:val="28"/>
        </w:rPr>
        <w:t xml:space="preserve">DOSIS, PENYESUAIAN, DAN RE-DOSING INTRAOPERATIF</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922B21"/>
          <w:sz w:val="24"/>
          <w:szCs w:val="24"/>
        </w:rPr>
        <w:t xml:space="preserve">4.1 Penyesuaian Dosis Cefazolin berdasarkan Berat Badan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Distribusi volume cefazolin meningkat seiring berat badan. Pada pasien obesitas, dosis standar 1 g gagal mencapai konsentrasi adekuat di jaringan lemak subkutan tempat SSI paling sering terjadi.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600"/>
        <w:gridCol w:w="2500"/>
        <w:gridCol w:w="2589"/>
      </w:tblGrid>
      <w:tr>
        <w:trPr>
          <w:tblHeader/>
        </w:trPr>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Berat Badan Pasien</w:t>
            </w:r>
          </w:p>
        </w:tc>
        <w:tc>
          <w:tcPr>
            <w:tcW w:type="dxa" w:w="25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Dosis Cefazolin Profilaksis</w:t>
            </w:r>
          </w:p>
        </w:tc>
        <w:tc>
          <w:tcPr>
            <w:tcW w:type="dxa" w:w="25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&lt; 80 kg</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 g IV dosis tunggal</w:t>
            </w:r>
          </w:p>
        </w:tc>
        <w:tc>
          <w:tcPr>
            <w:tcW w:type="dxa" w:w="2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standar minimum</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80 - 120 kg</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dosis tunggal</w:t>
            </w:r>
          </w:p>
        </w:tc>
        <w:tc>
          <w:tcPr>
            <w:tcW w:type="dxa" w:w="2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Paling umum pada dewasa</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120 kg</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3 g IV dosis tunggal</w:t>
            </w:r>
          </w:p>
        </w:tc>
        <w:tc>
          <w:tcPr>
            <w:tcW w:type="dxa" w:w="2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Obesitas berat; jangan kurangi</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Anak-anak</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30-50 mg/kgBB IV (maks 2 g)</w:t>
            </w:r>
          </w:p>
        </w:tc>
        <w:tc>
          <w:tcPr>
            <w:tcW w:type="dxa" w:w="2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berbasis berat badan</w:t>
            </w:r>
          </w:p>
        </w:tc>
      </w:tr>
    </w:tbl>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EBF5FB"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Penyesuaian fungsi ginjal TIDAK diperlukan untuk dosis tunggal pre-operatif.</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Pada CrCl &lt; 30 mL/mnt, dosis tunggal PAB tetap sama — tidak perlu dikurangi.</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Penyesuaian hanya relevan jika PAB dilanjutkan sebagai terapi (bukan berlaku di sini).</w:t>
            </w:r>
          </w:p>
        </w:tc>
      </w:tr>
    </w:tbl>
    <w:p>
      <w:pPr>
        <w:pStyle w:val="Heading2"/>
        <w:spacing w:after="100" w:before="200"/>
      </w:pPr>
      <w:r>
        <w:rPr>
          <w:rFonts w:ascii="Arial" w:cs="Arial" w:eastAsia="Arial" w:hAnsi="Arial"/>
          <w:b/>
          <w:bCs/>
          <w:i w:val="false"/>
          <w:iCs w:val="false"/>
          <w:color w:val="922B21"/>
          <w:sz w:val="24"/>
          <w:szCs w:val="24"/>
        </w:rPr>
        <w:t xml:space="preserve">4.2 Re-Dosing Intraoperatif</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Dosis ulang diberikan intraoperatif jika salah satu atau kedua kondisi berikut terpenuhi: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900"/>
        <w:gridCol w:w="2800"/>
        <w:gridCol w:w="1989"/>
      </w:tblGrid>
      <w:tr>
        <w:trPr>
          <w:tblHeader/>
        </w:trPr>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Kondisi untuk Re-Dosing</w:t>
            </w:r>
          </w:p>
        </w:tc>
        <w:tc>
          <w:tcPr>
            <w:tcW w:type="dxa" w:w="28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Parameter</w:t>
            </w:r>
          </w:p>
        </w:tc>
        <w:tc>
          <w:tcPr>
            <w:tcW w:type="dxa" w:w="19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Interval Re-Dosing</w:t>
            </w:r>
          </w:p>
        </w:tc>
      </w:tr>
      <w:tr>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Durasi operasi melebihi 2x waktu paruh antibiotik</w:t>
            </w:r>
          </w:p>
        </w:tc>
        <w:tc>
          <w:tcPr>
            <w:tcW w:type="dxa" w:w="28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t1/2 = 1,5-2 jam → re-dose setiap 3-4 jam</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Klindamisin: t1/2 = 2-3 jam → re-dose setiap 6 jam</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t1/2 = 4-6 jam → jarang perlu re-dose dalam 1 operasi</w:t>
            </w:r>
          </w:p>
        </w:tc>
        <w:tc>
          <w:tcPr>
            <w:tcW w:type="dxa" w:w="19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Setiap 3-4 jam (Cefazolin)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Setiap 6 jam (Klindamisin)</w:t>
            </w:r>
          </w:p>
        </w:tc>
      </w:tr>
      <w:tr>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Perdarahan masif intraoperatif</w:t>
            </w:r>
          </w:p>
        </w:tc>
        <w:tc>
          <w:tcPr>
            <w:tcW w:type="dxa" w:w="28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Kehilangan darah &gt; 1.500 mL ATAU lebih dari 50% estimated blood volume</w:t>
            </w:r>
          </w:p>
        </w:tc>
        <w:tc>
          <w:tcPr>
            <w:tcW w:type="dxa" w:w="19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Segera setelah perdarahan masif, berikan dosis ulang</w:t>
            </w:r>
          </w:p>
        </w:tc>
      </w:tr>
    </w:tbl>
    <w:p>
      <w:pPr>
        <w:pStyle w:val="Heading2"/>
        <w:spacing w:after="100" w:before="200"/>
      </w:pPr>
      <w:r>
        <w:rPr>
          <w:rFonts w:ascii="Arial" w:cs="Arial" w:eastAsia="Arial" w:hAnsi="Arial"/>
          <w:b/>
          <w:bCs/>
          <w:i w:val="false"/>
          <w:iCs w:val="false"/>
          <w:color w:val="922B21"/>
          <w:sz w:val="24"/>
          <w:szCs w:val="24"/>
        </w:rPr>
        <w:t xml:space="preserve">4.3 Antibiotik Khusus: Cara Pemberian Vankomisin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Vankomisin memerlukan infus lambat (60-90 menit) untuk menghindari "Red Man Syndrome" (eritema difus, kemerahan wajah/leher akibat pelepasan histamin). Ini bukan alergi sejati.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Parameter</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Ketentuan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Indikasi PAB Vankomisin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Kolonisasi MRSA terkonfirmasi; alergi beta-laktam berat; institusi dengan prevalensi MRSA tinggi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15 mg/kgBB IV (maks 1.500 mg) untuk fungsi ginjal normal</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Cara pemberian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Infus lambat 60-90 menit; TIDAK boleh IV bolus</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Waktu inisiasi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Mulai infus 90-120 menit sebelum insisi (perlu waktu lebih panjang dari cefazolin)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Red Man Syndrome</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Kurangi kecepatan infus; premedikasi antihistamin jika perlu; bukan kontraindikasi lanjut vankomisin</w:t>
            </w:r>
          </w:p>
        </w:tc>
      </w:tr>
    </w:tbl>
    <w:p>
      <w:pPr>
        <w:pageBreakBefore/>
        <w:spacing w:after="20" w:before="0"/>
      </w:pPr>
      <w:r>
        <w:rPr>
          <w:rFonts w:ascii="Arial" w:cs="Arial" w:eastAsia="Arial" w:hAnsi="Arial"/>
          <w:b/>
          <w:bCs/>
          <w:i w:val="false"/>
          <w:iCs w:val="false"/>
          <w:color w:val="922B21"/>
          <w:sz w:val="20"/>
          <w:szCs w:val="20"/>
        </w:rPr>
        <w:t xml:space="preserve">BAB 5</w:t>
      </w:r>
    </w:p>
    <w:p>
      <w:pPr>
        <w:pStyle w:val="Heading1"/>
        <w:spacing w:after="100" w:before="0"/>
      </w:pPr>
      <w:r>
        <w:rPr>
          <w:rFonts w:ascii="Arial" w:cs="Arial" w:eastAsia="Arial" w:hAnsi="Arial"/>
          <w:b/>
          <w:bCs/>
          <w:i w:val="false"/>
          <w:iCs w:val="false"/>
          <w:color w:val="641E16"/>
          <w:sz w:val="28"/>
          <w:szCs w:val="28"/>
        </w:rPr>
        <w:t xml:space="preserve">REKOMENDASI PAB PER PROSEDUR BEDAH</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iCs/>
          <w:color w:val="1A1A1A"/>
          <w:sz w:val="20"/>
          <w:szCs w:val="20"/>
        </w:rPr>
        <w:t xml:space="preserve">Semua rekomendasi berikut untuk dewasa dengan fungsi ginjal normal. Waktu pemberian: 30-60 menit sebelum insisi untuk semua prosedur kecuali Vankomisin (90-120 menit). Durasi: STOP dalam 24 jam pasca-operasi kecuali dinyatakan lain.</w:t>
      </w:r>
    </w:p>
    <w:p>
      <w:pPr>
        <w:pStyle w:val="Heading2"/>
        <w:spacing w:after="100" w:before="200"/>
      </w:pPr>
      <w:r>
        <w:rPr>
          <w:rFonts w:ascii="Arial" w:cs="Arial" w:eastAsia="Arial" w:hAnsi="Arial"/>
          <w:b/>
          <w:bCs/>
          <w:i w:val="false"/>
          <w:iCs w:val="false"/>
          <w:color w:val="922B21"/>
          <w:sz w:val="24"/>
          <w:szCs w:val="24"/>
        </w:rPr>
        <w:t xml:space="preserve">5.1 Bedah Digestif dan Umum</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 (Alergi Penisilin)</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Herniorrafi (elektif, bersih, tanpa mesh)</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Tidak rutin diperlukan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Cefazolin 2 g IV (jika risiko tinggi)</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opsional pada bersih risiko rendah; wajib jika memakai mesh</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Herniorrafi dengan mesh</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Mesh = implant → profilaksis wajib</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Kolesistektomi laparoskopik (elektif, tidak komplikasi)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Tidak rutin diperlukan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Cefazolin 1-2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opsional pada risiko rendah. Wajib jika kolesistitis akut/batu besar</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Kolesistektomi terbuka / komplikasi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stop 24 jam</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Apendektomi (tanpa perforasi)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Metronidazol 500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mencakup gram+; Metronidazol mencakup anaerob</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Operasi kolorektal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(reseksi, kolostomi, TURP-like)</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 Persiapan mekanik usus + AB oral sehari sebelum (Neomisin + Eritromisin atau Metronidazol PO)</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Oral bowel prep hari sebelum meningkatkan efektivitas</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Gastrektomi / operasi lambung</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re-dose jika &gt; 4 jam</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Laparotomi eksplorasi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Sesuaikan jika intraoperatif ditemukan perforasi → lanjutkan sebagai terapi</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Splenektomi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Vaksin pneumokok + Hib + meningokokus pra-operasi jika elektif</w:t>
            </w:r>
          </w:p>
        </w:tc>
      </w:tr>
    </w:tbl>
    <w:p>
      <w:pPr>
        <w:pStyle w:val="Heading2"/>
        <w:spacing w:after="100" w:before="200"/>
      </w:pPr>
      <w:r>
        <w:rPr>
          <w:rFonts w:ascii="Arial" w:cs="Arial" w:eastAsia="Arial" w:hAnsi="Arial"/>
          <w:b/>
          <w:bCs/>
          <w:i w:val="false"/>
          <w:iCs w:val="false"/>
          <w:color w:val="922B21"/>
          <w:sz w:val="24"/>
          <w:szCs w:val="24"/>
        </w:rPr>
        <w:t xml:space="preserve">5.2 Bedah Ortopedi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 (Alergi Penisilin)</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Artroplasti total (pinggul/lutut) — Total Hip/Knee Replacement</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 (infus lambat 90-120 mnt sebelum insisi)</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Implant besar → profilaksis wajib; lanjutkan 24 jam; beberapa panduan: dosis ke-2 pasca-op 8 jam</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ORIF fraktur terbuka (grade I-II)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(dalam 6 jam setelah trauma)</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Semakin cepat sejak trauma, semakin efektif; grade III: terapi, bukan profilaksis</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tulang belakang (laminektomi, fusi)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 Gentamisin jika alergi berat</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Re-dose setiap 3-4 jam untuk operasi panjang</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Amputasi (tanpa infeksi aktif)</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Metronidazol untuk cakupan anaerob (potensi kontaminasi iskemik)</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Artroskopi elektif (tanpa implant)</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600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Beberapa panduan: opsional pada risiko rendah tanpa implant</w:t>
            </w:r>
          </w:p>
        </w:tc>
      </w:tr>
    </w:tbl>
    <w:p>
      <w:pPr>
        <w:pStyle w:val="Heading2"/>
        <w:spacing w:after="100" w:before="200"/>
      </w:pPr>
      <w:r>
        <w:rPr>
          <w:rFonts w:ascii="Arial" w:cs="Arial" w:eastAsia="Arial" w:hAnsi="Arial"/>
          <w:b/>
          <w:bCs/>
          <w:i w:val="false"/>
          <w:iCs w:val="false"/>
          <w:color w:val="922B21"/>
          <w:sz w:val="24"/>
          <w:szCs w:val="24"/>
        </w:rPr>
        <w:t xml:space="preserve">5.3 Bedah Ginekologi dan Obstetri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 (Alergi Penisilin)</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Sectio Caesarea (SC)</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DIBERIKAN SEBELUM INSISI KULIT</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(bukan setelah clamping tali pusat)</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Meta-analisis: pre-incision lebih efektif mencegah SSI dan endometritis vs pasca-clamping. WHO 2021 merekomendasikan pre-incision.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Histerektomi (abdominal/vaginal)</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cukup untuk prosedur &lt; 4 jam</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Kuretase / D&amp;C</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Tidak rutin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Doksisiklin 100 mg PO 1 jam sebelum (hanya jika risiko tinggi PID)</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Hanya pada risiko infeksi tinggi (RPP)</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Laparoskopi ginekologi elektif (bersih)</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rutin / Cefazolin 1-2 g IV (jika risiko tinggi)</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Opsional pada prosedur bersih risiko rendah</w:t>
            </w:r>
          </w:p>
        </w:tc>
      </w:tr>
    </w:tbl>
    <w:p>
      <w:pPr>
        <w:pStyle w:val="Heading2"/>
        <w:spacing w:after="100" w:before="200"/>
      </w:pPr>
      <w:r>
        <w:rPr>
          <w:rFonts w:ascii="Arial" w:cs="Arial" w:eastAsia="Arial" w:hAnsi="Arial"/>
          <w:b/>
          <w:bCs/>
          <w:i w:val="false"/>
          <w:iCs w:val="false"/>
          <w:color w:val="922B21"/>
          <w:sz w:val="24"/>
          <w:szCs w:val="24"/>
        </w:rPr>
        <w:t xml:space="preserve">5.4 Bedah Urologi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 (Alergi Penisilin)</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TURP (Trans-Urethral Resection of Prostate)</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dosis tunggal</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Ko-trimoksazol 960 mg PO 2 jam sebelum</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Wajib kultur urine pra-operasi; obati ISK terlebih dahulu sebelum jadwal operasi</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Nefrektomi / Sistektomi / operasi ginjal/ureter terbuka</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stop 24 jam</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Sistouretroskopi diagnostik</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diperlukan secara rutin</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PAB hanya jika ada faktor risiko (imunokompromais, manipulasi ekstensif, batu)</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Prostatektomi radikal (laparoskopik/robotik)</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Re-dose setiap 3-4 jam jika operasi panjang</w:t>
            </w:r>
          </w:p>
        </w:tc>
      </w:tr>
    </w:tbl>
    <w:p>
      <w:pPr>
        <w:pStyle w:val="Heading2"/>
        <w:spacing w:after="100" w:before="200"/>
      </w:pPr>
      <w:r>
        <w:rPr>
          <w:rFonts w:ascii="Arial" w:cs="Arial" w:eastAsia="Arial" w:hAnsi="Arial"/>
          <w:b/>
          <w:bCs/>
          <w:i w:val="false"/>
          <w:iCs w:val="false"/>
          <w:color w:val="922B21"/>
          <w:sz w:val="24"/>
          <w:szCs w:val="24"/>
        </w:rPr>
        <w:t xml:space="preserve">5.5 Bedah Kardiotoraks dan Vaskular</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CABG (Coronary Artery Bypass Grafting)</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pre-op</w:t>
            </w:r>
          </w:p>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 re-dose setiap 4 jam intraoperatif</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Lanjutkan max 48 jam pasca-op</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 (jika MRSA risk/alergi berat)</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Satu-satunya prosedur dimana max 48 jam diperbolehkan karena risiko mediastinitis</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katup jantung (valve repair/replacement)</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lanjutkan max 48 jam</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Pertimbangkan Vankomisin jika prevalensi MRSA institusi tinggi</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aorta / bypass vaskular perifer</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 + Gentamisin 5 mg/kgBB</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Implant graft = risiko tinggi; dosis tunggal + 1 dosis post-op hari pertama</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Pemasangan pacu jantung / ICD</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implant kecil namun risiko device-related infection</w:t>
            </w:r>
          </w:p>
        </w:tc>
      </w:tr>
    </w:tbl>
    <w:p>
      <w:pPr>
        <w:pStyle w:val="Heading2"/>
        <w:spacing w:after="100" w:before="200"/>
      </w:pPr>
      <w:r>
        <w:rPr>
          <w:rFonts w:ascii="Arial" w:cs="Arial" w:eastAsia="Arial" w:hAnsi="Arial"/>
          <w:b/>
          <w:bCs/>
          <w:i w:val="false"/>
          <w:iCs w:val="false"/>
          <w:color w:val="922B21"/>
          <w:sz w:val="24"/>
          <w:szCs w:val="24"/>
        </w:rPr>
        <w:t xml:space="preserve">5.6 Bedah Kepala, Leher, dan Lainnya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1900"/>
        <w:gridCol w:w="1600"/>
        <w:gridCol w:w="480"/>
        <w:gridCol w:w="150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19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Pilihan Pertama</w:t>
            </w:r>
          </w:p>
        </w:tc>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Alternatif</w:t>
            </w:r>
          </w:p>
        </w:tc>
        <w:tc>
          <w:tcPr>
            <w:tcW w:type="dxa" w:w="48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c>
          <w:tcPr>
            <w:tcW w:type="dxa" w:w="150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Catatan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Kraniotomi (bersih)</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re-dose setiap 4 jam jika operasi panjang</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kepala-leher dengan insisi mukosa oral/faring</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Amoksisilin-Klav 2,2 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Cefazolin 2 g + Metronidazol 500 mg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Mukosa oral membawa flora campuran aerob-anaerob; Metronidazol penting</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Tiroidektomi / paratiroidektomi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1-2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Bersih; dosis tunggal; beberapa panduan: opsional</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mata (vitrektomi, katarak komplikasi)</w:t>
            </w:r>
          </w:p>
        </w:tc>
        <w:tc>
          <w:tcPr>
            <w:tcW w:type="dxa" w:w="19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Tobramisin atau Levofloxacin tetes pra-op</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ATAU Cefazolin 1 g IV</w:t>
            </w:r>
          </w:p>
        </w:tc>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Levofloxacin tetes</w:t>
            </w:r>
          </w:p>
        </w:tc>
        <w:tc>
          <w:tcPr>
            <w:tcW w:type="dxa" w:w="48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WATCH (tetes)</w:t>
            </w:r>
          </w:p>
        </w:tc>
        <w:tc>
          <w:tcPr>
            <w:tcW w:type="dxa" w:w="150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Profilaksis topikal lebih umum; sesuaikan dengan Sp.M</w:t>
            </w:r>
          </w:p>
        </w:tc>
      </w:tr>
    </w:tbl>
    <w:p>
      <w:pPr>
        <w:pageBreakBefore/>
        <w:spacing w:after="20" w:before="0"/>
      </w:pPr>
      <w:r>
        <w:rPr>
          <w:rFonts w:ascii="Arial" w:cs="Arial" w:eastAsia="Arial" w:hAnsi="Arial"/>
          <w:b/>
          <w:bCs/>
          <w:i w:val="false"/>
          <w:iCs w:val="false"/>
          <w:color w:val="922B21"/>
          <w:sz w:val="20"/>
          <w:szCs w:val="20"/>
        </w:rPr>
        <w:t xml:space="preserve">BAB 6</w:t>
      </w:r>
    </w:p>
    <w:p>
      <w:pPr>
        <w:pStyle w:val="Heading1"/>
        <w:spacing w:after="100" w:before="0"/>
      </w:pPr>
      <w:r>
        <w:rPr>
          <w:rFonts w:ascii="Arial" w:cs="Arial" w:eastAsia="Arial" w:hAnsi="Arial"/>
          <w:b/>
          <w:bCs/>
          <w:i w:val="false"/>
          <w:iCs w:val="false"/>
          <w:color w:val="641E16"/>
          <w:sz w:val="28"/>
          <w:szCs w:val="28"/>
        </w:rPr>
        <w:t xml:space="preserve">KONDISI KHUSUS DALAM PROFILAKSIS ANTIBIOTIK BEDAH</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922B21"/>
          <w:sz w:val="24"/>
          <w:szCs w:val="24"/>
        </w:rPr>
        <w:t xml:space="preserve">6.1 Pasien dengan Riwayat Alergi Penisilin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Lihat Buku Saku PGA untuk Dokter BAB 8.2 tentang navigasi alergi penisilin. Prinsip kunci: sebagian besar reaksi ruam ringan TIDAK menghalangi penggunaan sefalosporin. Alergi anafilaksis memerlukan penghindaran semua beta-laktam.</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Jenis Reaksi Penisilin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Pengganti untuk PAB</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Anafilaksis (urtikaria, edema, bronkospasme, syok)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 (gram-positif) + Gentamisin 5 mg/kgBB IV (gram-negatif, jika diindikasikan)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Ruam makulo-papular tanpa gejala sistemik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UMUMNYA AMAN (risiko silang &lt; 0,5%); konsultasikan dengan Tim PRA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ingat / riwayat tidak jelas</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dapat diberikan dengan monitoring; atau skin test jika tersedia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Alergi amoksisilin spesifik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umumnya aman (rantai samping R1 berbeda)</w:t>
            </w:r>
          </w:p>
        </w:tc>
      </w:tr>
    </w:tbl>
    <w:p>
      <w:pPr>
        <w:pStyle w:val="Heading2"/>
        <w:spacing w:after="100" w:before="200"/>
      </w:pPr>
      <w:r>
        <w:rPr>
          <w:rFonts w:ascii="Arial" w:cs="Arial" w:eastAsia="Arial" w:hAnsi="Arial"/>
          <w:b/>
          <w:bCs/>
          <w:i w:val="false"/>
          <w:iCs w:val="false"/>
          <w:color w:val="922B21"/>
          <w:sz w:val="24"/>
          <w:szCs w:val="24"/>
        </w:rPr>
        <w:t xml:space="preserve">6.2 Pasien Obesitas (BMI &gt;= 35 kg/m2)</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Pertimbangan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Rekomendasi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Cefazolin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BB &gt; 120 kg: 3 g IV. Jangan menggunakan 1 g untuk pasien obesitas berat — kadar jaringan tidak adekuat.</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Waktu pemberian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berbeda dari pasien normal; 30-60 menit sebelum insisi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Re-dosing</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Lebih sering dipertimbangkan karena volume distribusi lebih besar; interval re-dosing: 3-4 jam (Cefazolin)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SSI risk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obesitas memiliki risiko SSI 2-3x lebih tinggi; PAB yang tepat sangat penting</w:t>
            </w:r>
          </w:p>
        </w:tc>
      </w:tr>
    </w:tbl>
    <w:p>
      <w:pPr>
        <w:pStyle w:val="Heading2"/>
        <w:spacing w:after="100" w:before="200"/>
      </w:pPr>
      <w:r>
        <w:rPr>
          <w:rFonts w:ascii="Arial" w:cs="Arial" w:eastAsia="Arial" w:hAnsi="Arial"/>
          <w:b/>
          <w:bCs/>
          <w:i w:val="false"/>
          <w:iCs w:val="false"/>
          <w:color w:val="922B21"/>
          <w:sz w:val="24"/>
          <w:szCs w:val="24"/>
        </w:rPr>
        <w:t xml:space="preserve">6.3 Pasien Hamil — Sectio Caesarea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E8F5E9"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Bukti terkini (WHO 2021, Cochrane 2022) mendukung pemberian Cefazolin SEBELUM insisi kulit</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pada SC, BUKAN setelah clamping tali pusat.</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Alasan: pre-incision lebih efektif mengurangi endometritis dan SSI ibu.</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Kekhawatiran tentang pengaruh pada flora bayi atau masking sepsis neonatus TIDAK</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terbukti signifikan dalam studi berkualitas tinggi.</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Parameter</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Rekomendasi untuk SC</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Antibiotik</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(BB 80-120 kg) atau 3 g IV (BB &gt; 120 kg)</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Waktu</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30-60 menit SEBELUM insisi kulit (pre-incision)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Alergi penisilin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Durasi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Dosis tunggal; STOP dalam 24 jam pasca-SC</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Tambahan (SC tidak elektif dengan ruptur ketuban lama)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Pertimbangkan terapi — bukan hanya profilaksis; konsultasi SpOG</w:t>
            </w:r>
          </w:p>
        </w:tc>
      </w:tr>
    </w:tbl>
    <w:p>
      <w:pPr>
        <w:pStyle w:val="Heading2"/>
        <w:spacing w:after="100" w:before="200"/>
      </w:pPr>
      <w:r>
        <w:rPr>
          <w:rFonts w:ascii="Arial" w:cs="Arial" w:eastAsia="Arial" w:hAnsi="Arial"/>
          <w:b/>
          <w:bCs/>
          <w:i w:val="false"/>
          <w:iCs w:val="false"/>
          <w:color w:val="922B21"/>
          <w:sz w:val="24"/>
          <w:szCs w:val="24"/>
        </w:rPr>
        <w:t xml:space="preserve">6.4 Pasien dengan Kolonisasi MRSA</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Pada pasien yang diketahui carrier MRSA (dari skrining nasal swab pra-operasi elektif besar seperti artroplasti atau CABG), pertimbangkan: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Tindakan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Detail</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Dekolonisasi pra-operasi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Mupirocin salep nasal 2x/hari selama 5 hari + mandi klorheksidin 4% selama 5 hari sebelum operasi. Terbukti mengurangi SSI dan bakteremia terkait MRSA.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Tambahan Vankomisin pada PAB</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tetap diberikan + tambahkan Vankomisin 1-1,5 g IV (infus 90-120 mnt sebelum insisi). BUKAN mengganti Cefazolin.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Koordinasi dengan Tim PRA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Penggunaan Vankomisin sebagai PAB memerlukan notifikasi Tim PRA (RESERVE class).</w:t>
            </w:r>
          </w:p>
        </w:tc>
      </w:tr>
    </w:tbl>
    <w:p>
      <w:pPr>
        <w:pageBreakBefore/>
        <w:spacing w:after="20" w:before="0"/>
      </w:pPr>
      <w:r>
        <w:rPr>
          <w:rFonts w:ascii="Arial" w:cs="Arial" w:eastAsia="Arial" w:hAnsi="Arial"/>
          <w:b/>
          <w:bCs/>
          <w:i w:val="false"/>
          <w:iCs w:val="false"/>
          <w:color w:val="922B21"/>
          <w:sz w:val="20"/>
          <w:szCs w:val="20"/>
        </w:rPr>
        <w:t xml:space="preserve">BAB 7</w:t>
      </w:r>
    </w:p>
    <w:p>
      <w:pPr>
        <w:pStyle w:val="Heading1"/>
        <w:spacing w:after="100" w:before="0"/>
      </w:pPr>
      <w:r>
        <w:rPr>
          <w:rFonts w:ascii="Arial" w:cs="Arial" w:eastAsia="Arial" w:hAnsi="Arial"/>
          <w:b/>
          <w:bCs/>
          <w:i w:val="false"/>
          <w:iCs w:val="false"/>
          <w:color w:val="641E16"/>
          <w:sz w:val="28"/>
          <w:szCs w:val="28"/>
        </w:rPr>
        <w:t xml:space="preserve">AUTOMATIC STOP ORDER (ASO): MEKANISME DAN IMPLEMENTASI</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pStyle w:val="Heading2"/>
        <w:spacing w:after="100" w:before="200"/>
      </w:pPr>
      <w:r>
        <w:rPr>
          <w:rFonts w:ascii="Arial" w:cs="Arial" w:eastAsia="Arial" w:hAnsi="Arial"/>
          <w:b/>
          <w:bCs/>
          <w:i w:val="false"/>
          <w:iCs w:val="false"/>
          <w:color w:val="922B21"/>
          <w:sz w:val="24"/>
          <w:szCs w:val="24"/>
        </w:rPr>
        <w:t xml:space="preserve">7.1 Mengapa ASO Wajib Diterapkan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ASO adalah mekanisme sistem yang secara otomatis menghentikan antibiotik profilaksis dalam 24 jam pasca-operasi, kecuali ada order tertulis yang eksplisit untuk melanjutkan (beserta indikasi klinis yang terdokumentasi).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Tanpa ASO</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Dengan ASO yang Berjalan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Antibiotik profilaksis "mengalir terus" hingga dokter ingat untuk menghentikan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Penghentian otomatis pada jam ke-24 pasca-operasi; dokter harus menulis ulang jika ingin melanjutkan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seringkali tidak menghentikan karena khawatir "infeksi" meskipun tidak ada bukti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Bila tidak ada bukti infeksi, antibiotik otomatis berhenti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terekspos antibiotik 3-7 hari padahal 1 dosis sudah cukup</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Eksposur antibiotik dibatasi; seleksi resistensi berkurang</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K4 (stop order compliance) rendah — sering menjadi temuan audit PPRA</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Data K4 meningkat secara otomatis; audit menjadi lebih mudah</w:t>
            </w:r>
          </w:p>
        </w:tc>
      </w:tr>
    </w:tbl>
    <w:p>
      <w:pPr>
        <w:pStyle w:val="Heading2"/>
        <w:spacing w:after="100" w:before="200"/>
      </w:pPr>
      <w:r>
        <w:rPr>
          <w:rFonts w:ascii="Arial" w:cs="Arial" w:eastAsia="Arial" w:hAnsi="Arial"/>
          <w:b/>
          <w:bCs/>
          <w:i w:val="false"/>
          <w:iCs w:val="false"/>
          <w:color w:val="922B21"/>
          <w:sz w:val="24"/>
          <w:szCs w:val="24"/>
        </w:rPr>
        <w:t xml:space="preserve">7.2 Komponen ASO yang Efektif</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Komponen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Detail Implementasi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Form ASO terintegrasi dalam lembar order pre-operasi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Saat dokter bedah menulis order profilaksis, form ASO sudah ada sebagai bagian yang tidak terpisahkan. "Stop order: 24 jam pasca-operasi" sudah tercetak.</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Edukasi dokter dan perawat</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Semua DPJP dan perawat bangsal memahami: antibiotik profilaksis WAJIB berhenti dalam 24 jam. Tidak perlu "menunggu instruksi stop" — ASO sudah ada.</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Peran apoteker klinis</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Monitor lembar obat pasien post-op; konfirmasi ASO berjalan; notifikasi jika antibiotik profilaksis masih aktif &gt; 24 jam tanpa dokumentasi indikasi.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Peran perawat bangsal</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Identifikasi antibiotik profilaksis yang melewati batas 24 jam; konfirmasi dengan apoteker; dokumentasikan.</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Prosedur jika ada indikasi melanjutkan</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Jika dokter menemukan tanda infeksi dan ingin melanjutkan: WAJIB menulis "Lanjutkan antibiotik sebagai terapi karena [indikasi klinis] — bukan lagi profilaksis" dalam rekam medis.</w:t>
            </w:r>
          </w:p>
        </w:tc>
      </w:tr>
    </w:tbl>
    <w:p>
      <w:pPr>
        <w:pStyle w:val="Heading2"/>
        <w:spacing w:after="100" w:before="200"/>
      </w:pPr>
      <w:r>
        <w:rPr>
          <w:rFonts w:ascii="Arial" w:cs="Arial" w:eastAsia="Arial" w:hAnsi="Arial"/>
          <w:b/>
          <w:bCs/>
          <w:i w:val="false"/>
          <w:iCs w:val="false"/>
          <w:color w:val="922B21"/>
          <w:sz w:val="24"/>
          <w:szCs w:val="24"/>
        </w:rPr>
        <w:t xml:space="preserve">7.3 Hambatan Umum dan Cara Mengatasinya</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2000"/>
        <w:gridCol w:w="4689"/>
      </w:tblGrid>
      <w:tr>
        <w:trPr>
          <w:tblHeader/>
        </w:trPr>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Hambatan</w:t>
            </w:r>
          </w:p>
        </w:tc>
        <w:tc>
          <w:tcPr>
            <w:tcW w:type="dxa" w:w="46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Solusi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"Tidak ada form ASO di RS kami"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Buat form sederhana yang diisi dokter bedah saat order pre-op: nama AB, dosis, waktu pemberian, waktu stop (= H operasi + 24 jam).</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bedah tidak mau berhenti karena khawatir infeksi"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Edukasi berbasis data: meta-analisis tidak menemukan perbedaan SSI antara stop 24 jam vs 48 jam vs 72 jam. Perpanjangan hanya menambah risiko resistensi.</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"Farmasi tidak punya sistem notifikasi"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Implementasi manual: perawat mencatat jam pemberian AB pertama; di papan planning pasien, tulis "AB PROFILAKSIS — STOP [jam/tanggal]".</w:t>
            </w:r>
          </w:p>
        </w:tc>
      </w:tr>
      <w:tr>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"Pasien mendapat cefazolin dan perawat tidak tahu itu profilaksis atau terapi"</w:t>
            </w:r>
          </w:p>
        </w:tc>
        <w:tc>
          <w:tcPr>
            <w:tcW w:type="dxa" w:w="46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Standardisasi label: pada semua resep profilaksis bedah, tambahkan keterangan "PROFILAKSIS — STOP 24 JAM PASCA-OP".</w:t>
            </w:r>
          </w:p>
        </w:tc>
      </w:tr>
    </w:tbl>
    <w:p>
      <w:pPr>
        <w:pageBreakBefore/>
        <w:spacing w:after="20" w:before="0"/>
      </w:pPr>
      <w:r>
        <w:rPr>
          <w:rFonts w:ascii="Arial" w:cs="Arial" w:eastAsia="Arial" w:hAnsi="Arial"/>
          <w:b/>
          <w:bCs/>
          <w:i w:val="false"/>
          <w:iCs w:val="false"/>
          <w:color w:val="922B21"/>
          <w:sz w:val="20"/>
          <w:szCs w:val="20"/>
        </w:rPr>
        <w:t xml:space="preserve">BAB 8</w:t>
      </w:r>
    </w:p>
    <w:p>
      <w:pPr>
        <w:pStyle w:val="Heading1"/>
        <w:spacing w:after="100" w:before="0"/>
      </w:pPr>
      <w:r>
        <w:rPr>
          <w:rFonts w:ascii="Arial" w:cs="Arial" w:eastAsia="Arial" w:hAnsi="Arial"/>
          <w:b/>
          <w:bCs/>
          <w:i w:val="false"/>
          <w:iCs w:val="false"/>
          <w:color w:val="641E16"/>
          <w:sz w:val="28"/>
          <w:szCs w:val="28"/>
        </w:rPr>
        <w:t xml:space="preserve">AUDIT KEPATUHAN PAB: INDIKATOR K1-K4</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Indikator K1-K4 adalah komponen wajib surveilans kualitas PAB yang dipantau Tim PRA dan dilaporkan dalam laporan triwulanan PPRA (juga ke SIRS Online). Data K1-K4 menjadi bukti pelaksanaan Prognas 6.1 dalam survei KARS.</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400"/>
        <w:gridCol w:w="2200"/>
        <w:gridCol w:w="2500"/>
        <w:gridCol w:w="1589"/>
      </w:tblGrid>
      <w:tr>
        <w:trPr>
          <w:tblHeader/>
        </w:trPr>
        <w:tc>
          <w:tcPr>
            <w:tcW w:type="dxa" w:w="4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Kode</w:t>
            </w:r>
          </w:p>
        </w:tc>
        <w:tc>
          <w:tcPr>
            <w:tcW w:type="dxa" w:w="2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Indikator</w:t>
            </w:r>
          </w:p>
        </w:tc>
        <w:tc>
          <w:tcPr>
            <w:tcW w:type="dxa" w:w="25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Cara Hitung</w:t>
            </w:r>
          </w:p>
        </w:tc>
        <w:tc>
          <w:tcPr>
            <w:tcW w:type="dxa" w:w="15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Target Nasional</w:t>
            </w:r>
          </w:p>
        </w:tc>
      </w:tr>
      <w:tr>
        <w:tc>
          <w:tcPr>
            <w:tcW w:type="dxa" w:w="4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K1</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Ketepatan pemilihan jenis antibiotik profilaksis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(sesuai PPAB RS)</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Jumlah kasus dengan AB sesuai PPAB / Total kasus operasi dengan PAB x 100%</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80%</w:t>
            </w:r>
          </w:p>
        </w:tc>
      </w:tr>
      <w:tr>
        <w:tc>
          <w:tcPr>
            <w:tcW w:type="dxa" w:w="4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K2</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Ketepatan waktu pemberian</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(30-60 mnt sebelum insisi)</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Jumlah kasus dengan waktu pemberian 30-60 mnt sebelum insisi / Total kasus dengan PAB x 100%</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80%</w:t>
            </w:r>
          </w:p>
        </w:tc>
      </w:tr>
      <w:tr>
        <w:tc>
          <w:tcPr>
            <w:tcW w:type="dxa" w:w="4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K3</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Ketepatan dosis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(sesuai BB dan PPAB)</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Jumlah kasus dengan dosis sesuai PPAB / Total kasus dengan PAB x 100%</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80%</w:t>
            </w:r>
          </w:p>
        </w:tc>
      </w:tr>
      <w:tr>
        <w:tc>
          <w:tcPr>
            <w:tcW w:type="dxa" w:w="4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K4</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Ketepatan durasi: stop dalam 24 jam pasca-op</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(ASO compliance)</w:t>
            </w:r>
          </w:p>
        </w:tc>
        <w:tc>
          <w:tcPr>
            <w:tcW w:type="dxa" w:w="25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Jumlah kasus dengan AB dihentikan &lt;= 24 jam pasca-op / Total kasus dengan PAB x 100%</w:t>
            </w:r>
          </w:p>
        </w:tc>
        <w:tc>
          <w:tcPr>
            <w:tcW w:type="dxa" w:w="15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&gt;= 75%</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K4 (ASO Compliance) adalah indikator yang paling sering bermasalah di Indonesia.</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Banyak RS melaporkan K4 &lt; 50% atau bahkan 0% karena tidak ada mekanisme ASO.</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K4 = 0% akan langsung terdeteksi dalam audit Gyssens sebagai Kategori IIIA (durasi terlalu lama)</w:t>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dan menjadi temuan kritis dalam survei KARS.</w:t>
            </w:r>
          </w:p>
        </w:tc>
      </w:tr>
    </w:tbl>
    <w:p>
      <w:pPr>
        <w:pStyle w:val="Heading2"/>
        <w:spacing w:after="100" w:before="200"/>
      </w:pPr>
      <w:r>
        <w:rPr>
          <w:rFonts w:ascii="Arial" w:cs="Arial" w:eastAsia="Arial" w:hAnsi="Arial"/>
          <w:b/>
          <w:bCs/>
          <w:i w:val="false"/>
          <w:iCs w:val="false"/>
          <w:color w:val="922B21"/>
          <w:sz w:val="24"/>
          <w:szCs w:val="24"/>
        </w:rPr>
        <w:t xml:space="preserve">8.2 Cara Meningkatkan K4: Intervensi Berbasis Bukti</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600"/>
        <w:gridCol w:w="2200"/>
        <w:gridCol w:w="2889"/>
      </w:tblGrid>
      <w:tr>
        <w:trPr>
          <w:tblHeader/>
        </w:trPr>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Intervensi</w:t>
            </w:r>
          </w:p>
        </w:tc>
        <w:tc>
          <w:tcPr>
            <w:tcW w:type="dxa" w:w="2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Efektivitas (Bukti)</w:t>
            </w:r>
          </w:p>
        </w:tc>
        <w:tc>
          <w:tcPr>
            <w:tcW w:type="dxa" w:w="28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Kemudahan Implementasi</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Implementasi form ASO terintegrasi dalam order pre-op</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Sangat efektif; K4 naik dari &lt; 30% ke &gt; 80% dalam studi RCT</w:t>
            </w:r>
          </w:p>
        </w:tc>
        <w:tc>
          <w:tcPr>
            <w:tcW w:type="dxa" w:w="28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Mudah — hanya perlu revisi formulir operasi</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Edukasi dokter bedah dengan feedback data K4 individual</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Efektif; dokter lebih termotivasi jika melihat data dirinya sendiri vs standar</w:t>
            </w:r>
          </w:p>
        </w:tc>
        <w:tc>
          <w:tcPr>
            <w:tcW w:type="dxa" w:w="28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Sedang — perlu data per DPJP</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Reminder perawat bangsal jam ke-24 post-op</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Efektif sebagai pengaman; perawat konfirmasi apakah AB sudah dihentikan</w:t>
            </w:r>
          </w:p>
        </w:tc>
        <w:tc>
          <w:tcPr>
            <w:tcW w:type="dxa" w:w="28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Mudah — tambahkan dalam SOP bangsal bedah</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Audit dan feedback bulanan di FORKKIT</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Efektif untuk perubahan budaya jangka panjang</w:t>
            </w:r>
          </w:p>
        </w:tc>
        <w:tc>
          <w:tcPr>
            <w:tcW w:type="dxa" w:w="28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Sudah berjalan jika FORKKIT aktif</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Sistem alert IT (HIS/EMR)</w:t>
            </w:r>
          </w:p>
        </w:tc>
        <w:tc>
          <w:tcPr>
            <w:tcW w:type="dxa" w:w="2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Sangat efektif; otomatis tanpa intervensi manusia</w:t>
            </w:r>
          </w:p>
        </w:tc>
        <w:tc>
          <w:tcPr>
            <w:tcW w:type="dxa" w:w="28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Sulit — memerlukan dukungan IT</w:t>
            </w:r>
          </w:p>
        </w:tc>
      </w:tr>
    </w:tbl>
    <w:p>
      <w:pPr>
        <w:pageBreakBefore/>
        <w:spacing w:after="20" w:before="0"/>
      </w:pPr>
      <w:r>
        <w:rPr>
          <w:rFonts w:ascii="Arial" w:cs="Arial" w:eastAsia="Arial" w:hAnsi="Arial"/>
          <w:b/>
          <w:bCs/>
          <w:i w:val="false"/>
          <w:iCs w:val="false"/>
          <w:color w:val="922B21"/>
          <w:sz w:val="20"/>
          <w:szCs w:val="20"/>
        </w:rPr>
        <w:t xml:space="preserve">BAB 9</w:t>
      </w:r>
    </w:p>
    <w:p>
      <w:pPr>
        <w:pStyle w:val="Heading1"/>
        <w:spacing w:after="100" w:before="0"/>
      </w:pPr>
      <w:r>
        <w:rPr>
          <w:rFonts w:ascii="Arial" w:cs="Arial" w:eastAsia="Arial" w:hAnsi="Arial"/>
          <w:b/>
          <w:bCs/>
          <w:i w:val="false"/>
          <w:iCs w:val="false"/>
          <w:color w:val="641E16"/>
          <w:sz w:val="28"/>
          <w:szCs w:val="28"/>
        </w:rPr>
        <w:t xml:space="preserve">PERAN TIM DALAM KEPATUHAN PAB</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PAB yang efektif adalah kerja tim. Kegagalan pada salah satu anggota tim berdampak pada efektivitas profilaksis secara keseluruhan.</w:t>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200"/>
        <w:gridCol w:w="3000"/>
        <w:gridCol w:w="2489"/>
      </w:tblGrid>
      <w:tr>
        <w:trPr>
          <w:tblHeader/>
        </w:trPr>
        <w:tc>
          <w:tcPr>
            <w:tcW w:type="dxa" w:w="12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Anggota Tim</w:t>
            </w:r>
          </w:p>
        </w:tc>
        <w:tc>
          <w:tcPr>
            <w:tcW w:type="dxa" w:w="3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Peran dalam PAB</w:t>
            </w:r>
          </w:p>
        </w:tc>
        <w:tc>
          <w:tcPr>
            <w:tcW w:type="dxa" w:w="24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Dokumentasi yang Diperlukan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Dokter Bedah</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(DPJP Bedah)</w:t>
            </w:r>
          </w:p>
        </w:tc>
        <w:tc>
          <w:tcPr>
            <w:tcW w:type="dxa" w:w="3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Menentukan jenis antibiotik dan durasi; menulis order profilaksis; mengisi form ASO; memutuskan stop/lanjut berdasarkan klinis post-op</w:t>
            </w:r>
          </w:p>
        </w:tc>
        <w:tc>
          <w:tcPr>
            <w:tcW w:type="dxa" w:w="24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Rekam medis: nama AB, dosis, waktu order, rencana stop. Order ASO harus tertanda tangan DPJP.</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Dokter Anestesi</w:t>
            </w:r>
          </w:p>
        </w:tc>
        <w:tc>
          <w:tcPr>
            <w:tcW w:type="dxa" w:w="3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Memastikan AB sudah diberikan pada waktu yang tepat (30-60 mnt sebelum insisi); koordinasikan dengan perawat OK; catat waktu pemberian di lembar anestesi</w:t>
            </w:r>
          </w:p>
        </w:tc>
        <w:tc>
          <w:tcPr>
            <w:tcW w:type="dxa" w:w="24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Lembar anestesi: nama AB, dosis, waktu infus dimulai. Wajib dicatat.</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Perawat Kamar Operasi</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(Perawat Sirkuler)</w:t>
            </w:r>
          </w:p>
        </w:tc>
        <w:tc>
          <w:tcPr>
            <w:tcW w:type="dxa" w:w="3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Siapkan obat sesuai order; berikan pada waktu tepat (koordinasikan dengan anestesi); catat waktu pemberian; re-dose intraoperatif sesuai jadwal</w:t>
            </w:r>
          </w:p>
        </w:tc>
        <w:tc>
          <w:tcPr>
            <w:tcW w:type="dxa" w:w="24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Lembar OK: nama AB, dosis, waktu pemberian, oleh siapa.</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Apoteker Klinis</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(Farmasi)</w:t>
            </w:r>
          </w:p>
        </w:tc>
        <w:tc>
          <w:tcPr>
            <w:tcW w:type="dxa" w:w="3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Verifikasi order profilaksis sesuai PPAB; penyiapan dan distribusi obat; monitor durasi post-op; notifikasi jika AB profilaksis melampaui 24 jam tanpa indikasi baru</w:t>
            </w:r>
          </w:p>
        </w:tc>
        <w:tc>
          <w:tcPr>
            <w:tcW w:type="dxa" w:w="24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Catatan farmasi: verifikasi dan validasi order; bukti notifikasi jika ada permasalahan.</w:t>
            </w:r>
          </w:p>
        </w:tc>
      </w:tr>
      <w:tr>
        <w:tc>
          <w:tcPr>
            <w:tcW w:type="dxa" w:w="12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Perawat Bangsal Bedah</w:t>
            </w:r>
          </w:p>
        </w:tc>
        <w:tc>
          <w:tcPr>
            <w:tcW w:type="dxa" w:w="3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Monitor durasi antibiotik post-op; konfirmasi ASO sudah dieksekusi; catat dalam lembar obat; laporkan ke apoteker/DPJP jika AB masih berjalan melewati 24 jam</w:t>
            </w:r>
          </w:p>
        </w:tc>
        <w:tc>
          <w:tcPr>
            <w:tcW w:type="dxa" w:w="2489"/>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Lembar obat pasien: tanda terima stop order; waktu pemberian terakhir.</w:t>
            </w:r>
          </w:p>
        </w:tc>
      </w:tr>
    </w:tbl>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6689"/>
      </w:tblGrid>
      <w:tr>
        <w:tc>
          <w:tcPr>
            <w:tcW w:type="dxa" w:w="6689"/>
            <w:tcBorders>
              <w:top w:val="single" w:color="922B21" w:sz="1"/>
              <w:left w:val="single" w:color="922B21" w:sz="1"/>
              <w:bottom w:val="single" w:color="922B21" w:sz="1"/>
              <w:right w:val="single" w:color="922B21" w:sz="1"/>
            </w:tcBorders>
            <w:shd w:fill="FFF8E1" w:val="clear"/>
            <w:tcMar>
              <w:top w:type="dxa" w:w="80"/>
              <w:left w:type="dxa" w:w="180"/>
              <w:bottom w:type="dxa" w:w="80"/>
              <w:right w:type="dxa" w:w="180"/>
            </w:tcMar>
          </w:tcPr>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Titik kritis yang paling sering gagal:</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1. Dokter anestesi memberikan AB terlalu awal (&gt; 60 mnt sebelum insisi) atau terlambat (setelah insisi)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2. Dokter bedah tidak mengisi form ASO sehingga AB terus berjalan</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3. Perawat bangsal tidak mengetahui bahwa AB yang berjalan adalah profilaksis (bukan terapi)</w:t>
            </w:r>
          </w:p>
          <w:p>
            <w:pPr>
              <w:spacing w:after="60" w:before="0" w:line="236"/>
              <w:jc w:val="both"/>
            </w:pPr>
            <w:r>
              <w:rPr>
                <w:rFonts w:ascii="Times New Roman" w:cs="Times New Roman" w:eastAsia="Times New Roman" w:hAnsi="Times New Roman"/>
                <w:b w:val="false"/>
                <w:bCs w:val="false"/>
                <w:i w:val="false"/>
                <w:iCs w:val="false"/>
                <w:color w:val="1A1A1A"/>
                <w:sz w:val="18"/>
                <w:szCs w:val="18"/>
              </w:rPr>
              <w:t xml:space="preserve"/>
            </w:r>
          </w:p>
          <w:p>
            <w:pPr>
              <w:spacing w:after="0" w:before="0" w:line="236"/>
              <w:jc w:val="both"/>
            </w:pPr>
            <w:r>
              <w:rPr>
                <w:rFonts w:ascii="Times New Roman" w:cs="Times New Roman" w:eastAsia="Times New Roman" w:hAnsi="Times New Roman"/>
                <w:b w:val="false"/>
                <w:bCs w:val="false"/>
                <w:i w:val="false"/>
                <w:iCs w:val="false"/>
                <w:color w:val="1A1A1A"/>
                <w:sz w:val="18"/>
                <w:szCs w:val="18"/>
              </w:rPr>
              <w:t xml:space="preserve">Solusi sistemik: standardisasi form, edukasi tim, dan audit berkala adalah kunci.</w:t>
            </w:r>
          </w:p>
        </w:tc>
      </w:tr>
    </w:tbl>
    <w:p>
      <w:pPr>
        <w:pStyle w:val="Heading1"/>
        <w:pageBreakBefore/>
        <w:spacing w:after="140" w:before="0"/>
      </w:pPr>
      <w:r>
        <w:rPr>
          <w:rFonts w:ascii="Arial" w:cs="Arial" w:eastAsia="Arial" w:hAnsi="Arial"/>
          <w:b/>
          <w:bCs/>
          <w:i w:val="false"/>
          <w:iCs w:val="false"/>
          <w:color w:val="641E16"/>
          <w:sz w:val="28"/>
          <w:szCs w:val="28"/>
        </w:rPr>
        <w:t xml:space="preserve">LAMPIRAN: QUICK REFERENCE PAB — RINGKASAN SATU HALAMAN</w:t>
      </w:r>
    </w:p>
    <w:p>
      <w:pPr>
        <w:spacing w:after="80" w:before="40" w:line="260"/>
        <w:jc w:val="both"/>
      </w:pPr>
      <w:r>
        <w:rPr>
          <w:rFonts w:ascii="Times New Roman" w:cs="Times New Roman" w:eastAsia="Times New Roman" w:hAnsi="Times New Roman"/>
          <w:b w:val="false"/>
          <w:bCs w:val="false"/>
          <w:i w:val="false"/>
          <w:iCs w:val="false"/>
          <w:color w:val="1A1A1A"/>
          <w:sz w:val="20"/>
          <w:szCs w:val="20"/>
        </w:rPr>
        <w:t xml:space="preserve">Gunakan tabel ini sebagai referensi cepat di kamar operasi. Semua dosis untuk dewasa fungsi ginjal normal. Waktu: 30-60 mnt sebelum insisi. STOP: 24 jam pasca-op (kardiotoraks: 48 jam).</w:t>
      </w:r>
    </w:p>
    <w:p>
      <w:pPr>
        <w:spacing w:after="80" w:before="0"/>
      </w:pPr>
      <w:r>
        <w:rPr>
          <w:rFonts w:ascii="Times New Roman" w:cs="Times New Roman" w:eastAsia="Times New Roman" w:hAnsi="Times New Roman"/>
          <w:b w:val="false"/>
          <w:bCs w:val="false"/>
          <w:i w:val="false"/>
          <w:iCs w:val="false"/>
          <w:color w:val="1A1A1A"/>
          <w:sz w:val="20"/>
          <w:szCs w:val="20"/>
        </w:rPr>
        <w:t xml:space="preserve"/>
      </w:r>
    </w:p>
    <w:tbl>
      <w:tblPr>
        <w:tblW w:type="dxa" w:w="6689"/>
        <w:tblBorders>
          <w:top w:val="single" w:color="auto" w:sz="4"/>
          <w:left w:val="single" w:color="auto" w:sz="4"/>
          <w:bottom w:val="single" w:color="auto" w:sz="4"/>
          <w:right w:val="single" w:color="auto" w:sz="4"/>
          <w:insideH w:val="single" w:color="auto" w:sz="4"/>
          <w:insideV w:val="single" w:color="auto" w:sz="4"/>
        </w:tblBorders>
      </w:tblPr>
      <w:tblGrid>
        <w:gridCol w:w="1600"/>
        <w:gridCol w:w="2700"/>
        <w:gridCol w:w="2000"/>
        <w:gridCol w:w="389"/>
      </w:tblGrid>
      <w:tr>
        <w:trPr>
          <w:tblHeader/>
        </w:trPr>
        <w:tc>
          <w:tcPr>
            <w:tcW w:type="dxa" w:w="16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Prosedur</w:t>
            </w:r>
          </w:p>
        </w:tc>
        <w:tc>
          <w:tcPr>
            <w:tcW w:type="dxa" w:w="27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AB Utama (Dewasa)</w:t>
            </w:r>
          </w:p>
        </w:tc>
        <w:tc>
          <w:tcPr>
            <w:tcW w:type="dxa" w:w="2000"/>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Alergi Penisilin</w:t>
            </w:r>
          </w:p>
        </w:tc>
        <w:tc>
          <w:tcPr>
            <w:tcW w:type="dxa" w:w="389"/>
            <w:tcBorders>
              <w:top w:val="single" w:color="E8A09A" w:sz="1"/>
              <w:left w:val="single" w:color="E8A09A" w:sz="1"/>
              <w:bottom w:val="single" w:color="E8A09A" w:sz="1"/>
              <w:right w:val="single" w:color="E8A09A" w:sz="1"/>
            </w:tcBorders>
            <w:shd w:fill="FDEDEC"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bCs/>
                <w:i w:val="false"/>
                <w:iCs w:val="false"/>
                <w:color w:val="1A1A1A"/>
                <w:sz w:val="16"/>
                <w:szCs w:val="16"/>
              </w:rPr>
              <w:t xml:space="preserve">AWaRe</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Kolesistektomi (risiko tinggi)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Apendektomi (tanpa perforasi)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Kolorektal / usus besar</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4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(+oral bowel prep hari sebelum)</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Gastrektomi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Laparotomi eksplorasi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 Metronidazol 500 mg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Herniorrafi dengan mesh</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Artroplasti total (hip/knee)</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 (infus 90 mnt)</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ORIF fraktur terbuka</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(dalam 6 jam)</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tulang belakang</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Sectio Caesarea (SC)</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(PRE-INCISION)</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Histerektomi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TURP</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ATAU Ko-trimoksazol 960 mg PO (2 jam sebelum)</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Nefrektomi / sistektomi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CABG / Operasi katup</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 re-dose 4 jam; STOP 48 jam</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Vankomisin 1-1,5 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Operasi aorta / bypass vaskular</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 Gentamisin 5 mg/kgBB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Kraniotomi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Kepala-leher dengan insisi mukosa</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Amoksisilin-Klav 2,2 g IV ATAU Cefazolin 2 g + Metronidazol 500 mg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r>
        <w:tc>
          <w:tcPr>
            <w:tcW w:type="dxa" w:w="16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Tiroidektomi</w:t>
            </w:r>
          </w:p>
        </w:tc>
        <w:tc>
          <w:tcPr>
            <w:tcW w:type="dxa" w:w="27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Cefazolin 1-2 g IV</w:t>
            </w:r>
          </w:p>
        </w:tc>
        <w:tc>
          <w:tcPr>
            <w:tcW w:type="dxa" w:w="2000"/>
            <w:tcBorders>
              <w:top w:val="single" w:color="E8A09A" w:sz="1"/>
              <w:left w:val="single" w:color="E8A09A" w:sz="1"/>
              <w:bottom w:val="single" w:color="E8A09A" w:sz="1"/>
              <w:right w:val="single" w:color="E8A09A" w:sz="1"/>
            </w:tcBorders>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Klindamisin 900 mg IV</w:t>
            </w:r>
          </w:p>
        </w:tc>
        <w:tc>
          <w:tcPr>
            <w:tcW w:type="dxa" w:w="389"/>
            <w:tcBorders>
              <w:top w:val="single" w:color="E8A09A" w:sz="1"/>
              <w:left w:val="single" w:color="E8A09A" w:sz="1"/>
              <w:bottom w:val="single" w:color="E8A09A" w:sz="1"/>
              <w:right w:val="single" w:color="E8A09A" w:sz="1"/>
            </w:tcBorders>
            <w:shd w:fill="E8F5E9" w:val="clear"/>
            <w:tcMar>
              <w:top w:type="dxa" w:w="60"/>
              <w:left w:type="dxa" w:w="100"/>
              <w:bottom w:type="dxa" w:w="60"/>
              <w:right w:type="dxa" w:w="80"/>
            </w:tcMar>
            <w:vAlign w:val="top"/>
          </w:tcPr>
          <w:p>
            <w:pPr>
              <w:spacing w:after="0" w:before="0" w:line="220"/>
              <w:jc w:val="left"/>
            </w:pPr>
            <w:r>
              <w:rPr>
                <w:rFonts w:ascii="Times New Roman" w:cs="Times New Roman" w:eastAsia="Times New Roman" w:hAnsi="Times New Roman"/>
                <w:b w:val="false"/>
                <w:bCs w:val="false"/>
                <w:i w:val="false"/>
                <w:iCs w:val="false"/>
                <w:color w:val="1A1A1A"/>
                <w:sz w:val="16"/>
                <w:szCs w:val="16"/>
              </w:rPr>
              <w:t xml:space="preserve">ACCESS</w:t>
            </w:r>
          </w:p>
        </w:tc>
      </w:tr>
    </w:tbl>
    <w:p>
      <w:pPr>
        <w:pStyle w:val="Heading1"/>
        <w:pageBreakBefore/>
        <w:spacing w:after="140" w:before="0"/>
      </w:pPr>
      <w:r>
        <w:rPr>
          <w:rFonts w:ascii="Arial" w:cs="Arial" w:eastAsia="Arial" w:hAnsi="Arial"/>
          <w:b/>
          <w:bCs/>
          <w:i w:val="false"/>
          <w:iCs w:val="false"/>
          <w:color w:val="641E16"/>
          <w:sz w:val="28"/>
          <w:szCs w:val="28"/>
        </w:rPr>
        <w:t xml:space="preserve">DAFTAR PUSTAKA</w:t>
      </w:r>
    </w:p>
    <w:p>
      <w:pPr>
        <w:pBdr>
          <w:bottom w:val="single" w:color="922B21" w:sz="6" w:space="1"/>
        </w:pBdr>
        <w:spacing w:after="80" w:before="60"/>
      </w:pPr>
      <w:r>
        <w:rPr>
          <w:rFonts w:ascii="Times New Roman" w:cs="Times New Roman" w:eastAsia="Times New Roman" w:hAnsi="Times New Roman"/>
          <w:b w:val="false"/>
          <w:bCs w:val="false"/>
          <w:i w:val="false"/>
          <w:iCs w:val="false"/>
          <w:color w:val="1A1A1A"/>
          <w:sz w:val="20"/>
          <w:szCs w:val="20"/>
        </w:rPr>
        <w:t xml:space="preserve"/>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  </w:t>
      </w:r>
      <w:r>
        <w:rPr>
          <w:rFonts w:ascii="Times New Roman" w:cs="Times New Roman" w:eastAsia="Times New Roman" w:hAnsi="Times New Roman"/>
          <w:b w:val="false"/>
          <w:bCs w:val="false"/>
          <w:i w:val="false"/>
          <w:iCs w:val="false"/>
          <w:color w:val="1A1A1A"/>
          <w:sz w:val="18"/>
          <w:szCs w:val="18"/>
        </w:rPr>
        <w:t xml:space="preserve">World Health Organization. Global Guidelines for the Prevention of Surgical Site Infection, 2nd edition. Geneva: WHO; 2018. Available at: apps.who.int/iris/handle/10665/277399</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  </w:t>
      </w:r>
      <w:r>
        <w:rPr>
          <w:rFonts w:ascii="Times New Roman" w:cs="Times New Roman" w:eastAsia="Times New Roman" w:hAnsi="Times New Roman"/>
          <w:b w:val="false"/>
          <w:bCs w:val="false"/>
          <w:i w:val="false"/>
          <w:iCs w:val="false"/>
          <w:color w:val="1A1A1A"/>
          <w:sz w:val="18"/>
          <w:szCs w:val="18"/>
        </w:rPr>
        <w:t xml:space="preserve">World Health Organization. AWaRe (Access, Watch, Reserve) Antibiotic Book 2023. Geneva: WHO; 2023.</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3.  </w:t>
      </w:r>
      <w:r>
        <w:rPr>
          <w:rFonts w:ascii="Times New Roman" w:cs="Times New Roman" w:eastAsia="Times New Roman" w:hAnsi="Times New Roman"/>
          <w:b w:val="false"/>
          <w:bCs w:val="false"/>
          <w:i w:val="false"/>
          <w:iCs w:val="false"/>
          <w:color w:val="1A1A1A"/>
          <w:sz w:val="18"/>
          <w:szCs w:val="18"/>
        </w:rPr>
        <w:t xml:space="preserve">Bratzler DW, Dellinger EP, Olsen KM, et al. Clinical Practice Guidelines for Antimicrobial Prophylaxis in Surgery. American Journal of Health-System Pharmacy (ASHP). 2013;70(3):195-283. doi:10.2146/ajhp120568 [Updated 2022]</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4.  </w:t>
      </w:r>
      <w:r>
        <w:rPr>
          <w:rFonts w:ascii="Times New Roman" w:cs="Times New Roman" w:eastAsia="Times New Roman" w:hAnsi="Times New Roman"/>
          <w:b w:val="false"/>
          <w:bCs w:val="false"/>
          <w:i w:val="false"/>
          <w:iCs w:val="false"/>
          <w:color w:val="1A1A1A"/>
          <w:sz w:val="18"/>
          <w:szCs w:val="18"/>
        </w:rPr>
        <w:t xml:space="preserve">Kementerian Kesehatan Republik Indonesia. Peraturan Menteri Kesehatan Nomor 28 Tahun 2021 tentang Pedoman Penggunaan Antibiotik. Jakarta: Kemenkes RI; 2021.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5.  </w:t>
      </w:r>
      <w:r>
        <w:rPr>
          <w:rFonts w:ascii="Times New Roman" w:cs="Times New Roman" w:eastAsia="Times New Roman" w:hAnsi="Times New Roman"/>
          <w:b w:val="false"/>
          <w:bCs w:val="false"/>
          <w:i w:val="false"/>
          <w:iCs w:val="false"/>
          <w:color w:val="1A1A1A"/>
          <w:sz w:val="18"/>
          <w:szCs w:val="18"/>
        </w:rPr>
        <w:t xml:space="preserve">Kementerian Kesehatan Republik Indonesia. KMK No. HK.01.07/MENKES/1596/2024 tentang Standar Akreditasi Rumah Sakit (STARKES 2024). Jakarta: Kemenkes RI; 2024.</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6.  </w:t>
      </w:r>
      <w:r>
        <w:rPr>
          <w:rFonts w:ascii="Times New Roman" w:cs="Times New Roman" w:eastAsia="Times New Roman" w:hAnsi="Times New Roman"/>
          <w:b w:val="false"/>
          <w:bCs w:val="false"/>
          <w:i w:val="false"/>
          <w:iCs w:val="false"/>
          <w:color w:val="1A1A1A"/>
          <w:sz w:val="18"/>
          <w:szCs w:val="18"/>
        </w:rPr>
        <w:t xml:space="preserve">Kementerian Kesehatan Republik Indonesia. Panduan Penatagunaan Antimikroba (PGA) di Rumah Sakit, Edisi I. Jakarta: Kemenkes RI; 2021.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7.  </w:t>
      </w:r>
      <w:r>
        <w:rPr>
          <w:rFonts w:ascii="Times New Roman" w:cs="Times New Roman" w:eastAsia="Times New Roman" w:hAnsi="Times New Roman"/>
          <w:b w:val="false"/>
          <w:bCs w:val="false"/>
          <w:i w:val="false"/>
          <w:iCs w:val="false"/>
          <w:color w:val="1A1A1A"/>
          <w:sz w:val="18"/>
          <w:szCs w:val="18"/>
        </w:rPr>
        <w:t xml:space="preserve">Allegranzi B, Zayed B, Bischoff P, et al. New WHO recommendations on intraoperative and postoperative measures for surgical site infection prevention: an evidence-based global perspective. Lancet Infect Dis. 2016;16(12):e288-e303. doi:10.1016/S1473-3099(16)30402-9</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8.  </w:t>
      </w:r>
      <w:r>
        <w:rPr>
          <w:rFonts w:ascii="Times New Roman" w:cs="Times New Roman" w:eastAsia="Times New Roman" w:hAnsi="Times New Roman"/>
          <w:b w:val="false"/>
          <w:bCs w:val="false"/>
          <w:i w:val="false"/>
          <w:iCs w:val="false"/>
          <w:color w:val="1A1A1A"/>
          <w:sz w:val="18"/>
          <w:szCs w:val="18"/>
        </w:rPr>
        <w:t xml:space="preserve">Smaill FM, Grivell RM. Antibiotic prophylaxis versus no prophylaxis for preventing infection after cesarean section. Cochrane Database Syst Rev. 2014;(10):CD007482.</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9.  </w:t>
      </w:r>
      <w:r>
        <w:rPr>
          <w:rFonts w:ascii="Times New Roman" w:cs="Times New Roman" w:eastAsia="Times New Roman" w:hAnsi="Times New Roman"/>
          <w:b w:val="false"/>
          <w:bCs w:val="false"/>
          <w:i w:val="false"/>
          <w:iCs w:val="false"/>
          <w:color w:val="1A1A1A"/>
          <w:sz w:val="18"/>
          <w:szCs w:val="18"/>
        </w:rPr>
        <w:t xml:space="preserve">Mackeen AD, Packard RE, Ota E, Berghella V, Baxter JK. Timing of intravenous prophylactic antibiotics for preventing postpartum infectious morbidity in women undergoing cesarean delivery. Cochrane Database Syst Rev. 2014;12:CD009516.</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10.  </w:t>
      </w:r>
      <w:r>
        <w:rPr>
          <w:rFonts w:ascii="Times New Roman" w:cs="Times New Roman" w:eastAsia="Times New Roman" w:hAnsi="Times New Roman"/>
          <w:b w:val="false"/>
          <w:bCs w:val="false"/>
          <w:i w:val="false"/>
          <w:iCs w:val="false"/>
          <w:color w:val="1A1A1A"/>
          <w:sz w:val="18"/>
          <w:szCs w:val="18"/>
        </w:rPr>
        <w:t xml:space="preserve">Lador A, Nasir H, Lador N, et al. Infectious complications of dental procedures. J Intern Med. 2012;271(1):15-28. doi:10.1111/j.1365-2796.2011.02439.x</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11.  </w:t>
      </w:r>
      <w:r>
        <w:rPr>
          <w:rFonts w:ascii="Times New Roman" w:cs="Times New Roman" w:eastAsia="Times New Roman" w:hAnsi="Times New Roman"/>
          <w:b w:val="false"/>
          <w:bCs w:val="false"/>
          <w:i w:val="false"/>
          <w:iCs w:val="false"/>
          <w:color w:val="1A1A1A"/>
          <w:sz w:val="18"/>
          <w:szCs w:val="18"/>
        </w:rPr>
        <w:t xml:space="preserve">Steinberg JP, Braun BI, Hellinger WC, et al. Timing of Antimicrobial Prophylaxis and the Risk of Surgical Site Infections. Ann Surg. 2009;250(1):10-16.</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12.  </w:t>
      </w:r>
      <w:r>
        <w:rPr>
          <w:rFonts w:ascii="Times New Roman" w:cs="Times New Roman" w:eastAsia="Times New Roman" w:hAnsi="Times New Roman"/>
          <w:b w:val="false"/>
          <w:bCs w:val="false"/>
          <w:i w:val="false"/>
          <w:iCs w:val="false"/>
          <w:color w:val="1A1A1A"/>
          <w:sz w:val="18"/>
          <w:szCs w:val="18"/>
        </w:rPr>
        <w:t xml:space="preserve">Sewick A, Makani A, Wu C, et al. Does Combined Prophylaxis With Cefazolin and Vancomycin Decrease Surgical Site Infections in Arthroplasty? Clin Orthop Relat Res. 2012;470(10):2702-2707.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13.  </w:t>
      </w:r>
      <w:r>
        <w:rPr>
          <w:rFonts w:ascii="Times New Roman" w:cs="Times New Roman" w:eastAsia="Times New Roman" w:hAnsi="Times New Roman"/>
          <w:b w:val="false"/>
          <w:bCs w:val="false"/>
          <w:i w:val="false"/>
          <w:iCs w:val="false"/>
          <w:color w:val="1A1A1A"/>
          <w:sz w:val="18"/>
          <w:szCs w:val="18"/>
        </w:rPr>
        <w:t xml:space="preserve">Van Kasteren ME, Mannien J, Ott A, et al. Antibiotic prophylaxis and the risk of surgical site infections following total hip arthroplasty. Ann Intern Med. 2007;147(10):677-684.</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14.  </w:t>
      </w:r>
      <w:r>
        <w:rPr>
          <w:rFonts w:ascii="Times New Roman" w:cs="Times New Roman" w:eastAsia="Times New Roman" w:hAnsi="Times New Roman"/>
          <w:b w:val="false"/>
          <w:bCs w:val="false"/>
          <w:i w:val="false"/>
          <w:iCs w:val="false"/>
          <w:color w:val="1A1A1A"/>
          <w:sz w:val="18"/>
          <w:szCs w:val="18"/>
        </w:rPr>
        <w:t xml:space="preserve">Barlam TF, Cosgrove SE, Abbo LM, et al. Implementing an Antibiotic Stewardship Program: Guidelines by IDSA and SHEA. Clin Infect Dis. 2016;62(10):e51-e77.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15.  </w:t>
      </w:r>
      <w:r>
        <w:rPr>
          <w:rFonts w:ascii="Times New Roman" w:cs="Times New Roman" w:eastAsia="Times New Roman" w:hAnsi="Times New Roman"/>
          <w:b w:val="false"/>
          <w:bCs w:val="false"/>
          <w:i w:val="false"/>
          <w:iCs w:val="false"/>
          <w:color w:val="1A1A1A"/>
          <w:sz w:val="18"/>
          <w:szCs w:val="18"/>
        </w:rPr>
        <w:t xml:space="preserve">Berrios-Torres SI, Umscheid CA, Bratzler DW, et al. Centers for Disease Control and Prevention Guideline for the Prevention of Surgical Site Infection, 2017. JAMA Surg. 2017;152(8):784-791.</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16.  </w:t>
      </w:r>
      <w:r>
        <w:rPr>
          <w:rFonts w:ascii="Times New Roman" w:cs="Times New Roman" w:eastAsia="Times New Roman" w:hAnsi="Times New Roman"/>
          <w:b w:val="false"/>
          <w:bCs w:val="false"/>
          <w:i w:val="false"/>
          <w:iCs w:val="false"/>
          <w:color w:val="1A1A1A"/>
          <w:sz w:val="18"/>
          <w:szCs w:val="18"/>
        </w:rPr>
        <w:t xml:space="preserve">Dellinger EP, Hausmann SM, Bratzler DW, et al. Hospitals collaborate to decrease surgical site infections. Am J Surg. 2005;190(1):9-15.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17.  </w:t>
      </w:r>
      <w:r>
        <w:rPr>
          <w:rFonts w:ascii="Times New Roman" w:cs="Times New Roman" w:eastAsia="Times New Roman" w:hAnsi="Times New Roman"/>
          <w:b w:val="false"/>
          <w:bCs w:val="false"/>
          <w:i w:val="false"/>
          <w:iCs w:val="false"/>
          <w:color w:val="1A1A1A"/>
          <w:sz w:val="18"/>
          <w:szCs w:val="18"/>
        </w:rPr>
        <w:t xml:space="preserve">Gyssens IC. Quality measures of antimicrobial drug use. Int J Antimicrob Agents. 2001;17(1):9-19.</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18.  </w:t>
      </w:r>
      <w:r>
        <w:rPr>
          <w:rFonts w:ascii="Times New Roman" w:cs="Times New Roman" w:eastAsia="Times New Roman" w:hAnsi="Times New Roman"/>
          <w:b w:val="false"/>
          <w:bCs w:val="false"/>
          <w:i w:val="false"/>
          <w:iCs w:val="false"/>
          <w:color w:val="1A1A1A"/>
          <w:sz w:val="18"/>
          <w:szCs w:val="18"/>
        </w:rPr>
        <w:t xml:space="preserve">Murray CJ, Ikuta KS, Sharara F, et al. Global burden of bacterial antimicrobial resistance in 2019: a systematic analysis. Lancet. 2022;399(10325):629-655.</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19.  </w:t>
      </w:r>
      <w:r>
        <w:rPr>
          <w:rFonts w:ascii="Times New Roman" w:cs="Times New Roman" w:eastAsia="Times New Roman" w:hAnsi="Times New Roman"/>
          <w:b w:val="false"/>
          <w:bCs w:val="false"/>
          <w:i w:val="false"/>
          <w:iCs w:val="false"/>
          <w:color w:val="1A1A1A"/>
          <w:sz w:val="18"/>
          <w:szCs w:val="18"/>
        </w:rPr>
        <w:t xml:space="preserve">Murthy R, et al. Surgical site infection after spine surgery: A review of risk factors and interventions. J Neurosurg Spine. 2017;27(5):501-507.</w:t>
      </w:r>
    </w:p>
    <w:p>
      <w:pPr>
        <w:spacing w:after="80" w:before="30" w:line="240"/>
        <w:ind w:left="440" w:hanging="440"/>
        <w:jc w:val="both"/>
      </w:pPr>
      <w:r>
        <w:rPr>
          <w:rFonts w:ascii="Times New Roman" w:cs="Times New Roman" w:eastAsia="Times New Roman" w:hAnsi="Times New Roman"/>
          <w:b/>
          <w:bCs/>
          <w:i w:val="false"/>
          <w:iCs w:val="false"/>
          <w:color w:val="1A1A1A"/>
          <w:sz w:val="18"/>
          <w:szCs w:val="18"/>
        </w:rPr>
        <w:t xml:space="preserve">20.  </w:t>
      </w:r>
      <w:r>
        <w:rPr>
          <w:rFonts w:ascii="Times New Roman" w:cs="Times New Roman" w:eastAsia="Times New Roman" w:hAnsi="Times New Roman"/>
          <w:b w:val="false"/>
          <w:bCs w:val="false"/>
          <w:i w:val="false"/>
          <w:iCs w:val="false"/>
          <w:color w:val="1A1A1A"/>
          <w:sz w:val="18"/>
          <w:szCs w:val="18"/>
        </w:rPr>
        <w:t xml:space="preserve">Engelman R, Shahian D, Shemin R, et al. The Society of Thoracic Surgeons Practice Guideline Series: Antibiotic Prophylaxis in Cardiac Surgery, Part II: Antibiotic Choice. Ann Thorac Surg. 2007;83(4):1569-1576.</w:t>
      </w:r>
    </w:p>
    <w:sectPr>
      <w:headerReference w:type="default" r:id="rId7"/>
      <w:headerReference w:type="first" r:id="rId8"/>
      <w:footerReference w:type="default" r:id="rId9"/>
      <w:footerReference w:type="first" r:id="rId10"/>
      <w:pgSz w:w="8391" w:h="11906" w:orient="portrait"/>
      <w:pgMar w:top="851" w:right="851" w:bottom="851" w:left="851" w:header="708" w:footer="708" w:gutter="0"/>
      <w:pgNumType/>
      <w:titlePg/>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922B21" w:sz="4" w:space="1"/>
      </w:pBdr>
      <w:spacing w:after="0" w:before="80"/>
      <w:jc w:val="center"/>
    </w:pPr>
    <w:r>
      <w:rPr>
        <w:rFonts w:ascii="Times New Roman" w:cs="Times New Roman" w:eastAsia="Times New Roman" w:hAnsi="Times New Roman"/>
        <w:b w:val="false"/>
        <w:bCs w:val="false"/>
        <w:i w:val="false"/>
        <w:iCs w:val="false"/>
        <w:color w:val="922B21"/>
        <w:sz w:val="14"/>
        <w:szCs w:val="14"/>
      </w:rPr>
      <w:t xml:space="preserve">Edisi 1, 2026  |  Verifikasi ke PPAB institusi Anda  |  saweria.co/haridiva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r>
      <w:rPr>
        <w:rFonts w:ascii="Times New Roman" w:cs="Times New Roman" w:eastAsia="Times New Roman" w:hAnsi="Times New Roman"/>
        <w:b w:val="false"/>
        <w:bCs w:val="false"/>
        <w:i w:val="false"/>
        <w:iCs w:val="false"/>
        <w:color w:val="1A1A1A"/>
        <w:sz w:val="20"/>
        <w:szCs w:val="20"/>
      </w:rPr>
      <w:t xml:space="preserv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922B21" w:sz="4" w:space="1"/>
      </w:pBdr>
      <w:spacing w:after="80" w:before="0"/>
      <w:jc w:val="center"/>
    </w:pPr>
    <w:r>
      <w:rPr>
        <w:rFonts w:ascii="Times New Roman" w:cs="Times New Roman" w:eastAsia="Times New Roman" w:hAnsi="Times New Roman"/>
        <w:b w:val="false"/>
        <w:bCs w:val="false"/>
        <w:i/>
        <w:iCs/>
        <w:color w:val="922B21"/>
        <w:sz w:val="14"/>
        <w:szCs w:val="14"/>
      </w:rPr>
      <w:t xml:space="preserve">Buku Saku Profilaksis Antibiotik Bedah  |  dr. Putu Cahya Legawa</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r>
      <w:rPr>
        <w:rFonts w:ascii="Times New Roman" w:cs="Times New Roman" w:eastAsia="Times New Roman" w:hAnsi="Times New Roman"/>
        <w:b w:val="false"/>
        <w:bCs w:val="false"/>
        <w:i w:val="false"/>
        <w:iCs w:val="false"/>
        <w:color w:val="1A1A1A"/>
        <w:sz w:val="20"/>
        <w:szCs w:val="20"/>
      </w:rP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80" w:hanging="240"/>
      </w:pPr>
    </w:lvl>
  </w:abstractNum>
  <w:abstractNum w:abstractNumId="3" w15:restartNumberingAfterBreak="0">
    <w:multiLevelType w:val="hybridMultilevel"/>
    <w:lvl w:ilvl="0" w15:tentative="1">
      <w:start w:val="1"/>
      <w:numFmt w:val="decimal"/>
      <w:lvlText w:val="%1."/>
      <w:lvlJc w:val="left"/>
      <w:pPr>
        <w:ind w:left="480" w:hanging="24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40" w:before="0"/>
      <w:outlineLvl w:val="0"/>
    </w:pPr>
    <w:rPr>
      <w:rFonts w:ascii="Arial" w:cs="Arial" w:eastAsia="Arial" w:hAnsi="Arial"/>
      <w:b/>
      <w:bCs/>
      <w:color w:val="641E16"/>
      <w:sz w:val="28"/>
      <w:szCs w:val="28"/>
    </w:rPr>
  </w:style>
  <w:style w:type="paragraph" w:styleId="Heading2">
    <w:name w:val="Heading 2"/>
    <w:basedOn w:val="Normal"/>
    <w:next w:val="Normal"/>
    <w:pPr>
      <w:spacing w:after="100" w:before="200"/>
      <w:outlineLvl w:val="1"/>
    </w:pPr>
    <w:rPr>
      <w:rFonts w:ascii="Arial" w:cs="Arial" w:eastAsia="Arial" w:hAnsi="Arial"/>
      <w:b/>
      <w:bCs/>
      <w:color w:val="922B21"/>
      <w:sz w:val="24"/>
      <w:szCs w:val="24"/>
    </w:rPr>
  </w:style>
  <w:style w:type="paragraph" w:styleId="Heading3">
    <w:name w:val="Heading 3"/>
    <w:basedOn w:val="Normal"/>
    <w:next w:val="Normal"/>
    <w:pPr>
      <w:spacing w:after="80" w:before="160"/>
      <w:outlineLvl w:val="2"/>
    </w:pPr>
    <w:rPr>
      <w:rFonts w:ascii="Arial" w:cs="Arial" w:eastAsia="Arial" w:hAnsi="Arial"/>
      <w:b/>
      <w:bCs/>
      <w:color w:val="641E16"/>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er2.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word/_rels/header2.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2026-06-11T22:52:20.926Z</dcterms:created>
  <dcterms:modified xsi:type="dcterms:W3CDTF">2026-06-11T22:52:20.939Z</dcterms:modified>
</cp:coreProperties>
</file>

<file path=docProps/custom.xml><?xml version="1.0" encoding="utf-8"?>
<Properties xmlns="http://schemas.openxmlformats.org/officeDocument/2006/custom-properties" xmlns:vt="http://schemas.openxmlformats.org/officeDocument/2006/docPropsVTypes"/>
</file>