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16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40" w:before="0"/>
        <w:ind/>
        <w:jc w:val="center"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0"/>
          <w:szCs w:val="20"/>
        </w:rPr>
        <w:t xml:space="preserve">SERI BUKU SAKU PPRA INDONESIA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20" w:before="0"/>
        <w:ind/>
        <w:jc w:val="center"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36"/>
          <w:szCs w:val="36"/>
        </w:rPr>
        <w:t xml:space="preserve">BUKU SAKU</w:t>
      </w:r>
      <w:r/>
    </w:p>
    <w:p>
      <w:pPr>
        <w:pBdr/>
        <w:spacing w:after="20" w:before="0"/>
        <w:ind/>
        <w:jc w:val="center"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42"/>
          <w:szCs w:val="42"/>
        </w:rPr>
        <w:t xml:space="preserve">TERAPI EMPIRIK</w:t>
      </w:r>
      <w:r/>
    </w:p>
    <w:p>
      <w:pPr>
        <w:pBdr/>
        <w:spacing w:after="20" w:before="0"/>
        <w:ind/>
        <w:jc w:val="center"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42"/>
          <w:szCs w:val="42"/>
        </w:rPr>
        <w:t xml:space="preserve">INFEKSI UMUM</w:t>
      </w:r>
      <w:r/>
    </w:p>
    <w:p>
      <w:pPr>
        <w:pBdr/>
        <w:spacing w:after="40" w:before="0"/>
        <w:ind/>
        <w:jc w:val="center"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42"/>
          <w:szCs w:val="42"/>
        </w:rPr>
        <w:t xml:space="preserve">DI INDONESIA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60" w:before="60"/>
        <w:ind/>
        <w:jc w:val="center"/>
        <w:rPr/>
      </w:pPr>
      <w:r>
        <w:rPr>
          <w:rFonts w:ascii="Times New Roman" w:hAnsi="Times New Roman" w:eastAsia="Times New Roman" w:cs="Times New Roman"/>
          <w:b w:val="0"/>
          <w:bCs w:val="0"/>
          <w:i/>
          <w:iCs/>
          <w:color w:val="2874a6"/>
          <w:sz w:val="22"/>
          <w:szCs w:val="22"/>
        </w:rPr>
        <w:t xml:space="preserve">Panduan Klinis Berbasis AWaRe WHO dan Regulasi Nasional</w:t>
      </w:r>
      <w:r/>
    </w:p>
    <w:p>
      <w:pPr>
        <w:pBdr/>
        <w:spacing w:after="32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20" w:before="40"/>
        <w:ind/>
        <w:jc w:val="center"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dr. Putu Cahya Legawa</w:t>
      </w:r>
      <w:r/>
    </w:p>
    <w:p>
      <w:pPr>
        <w:pBdr/>
        <w:spacing w:after="20" w:before="0"/>
        <w:ind/>
        <w:jc w:val="center"/>
        <w:rPr/>
      </w:pPr>
      <w:r>
        <w:rPr>
          <w:rFonts w:ascii="Times New Roman" w:hAnsi="Times New Roman" w:eastAsia="Times New Roman" w:cs="Times New Roman"/>
          <w:b w:val="0"/>
          <w:bCs w:val="0"/>
          <w:i/>
          <w:iCs/>
          <w:color w:val="2874a6"/>
          <w:sz w:val="20"/>
          <w:szCs w:val="20"/>
        </w:rPr>
        <w:t xml:space="preserve">Dokter Umum | Praktisi PPRA</w:t>
      </w:r>
      <w:r/>
    </w:p>
    <w:p>
      <w:pPr>
        <w:pBdr/>
        <w:spacing w:after="32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20" w:before="60"/>
        <w:ind/>
        <w:jc w:val="center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Edisi 1 — 2026</w:t>
      </w:r>
      <w:r/>
    </w:p>
    <w:p>
      <w:pPr>
        <w:pBdr/>
        <w:spacing w:after="0" w:before="0"/>
        <w:ind/>
        <w:jc w:val="center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2874a6"/>
          <w:sz w:val="20"/>
          <w:szCs w:val="20"/>
        </w:rPr>
        <w:t xml:space="preserve">legawa.com</w:t>
      </w:r>
      <w:r/>
    </w:p>
    <w:p>
      <w:pPr>
        <w:pBdr/>
        <w:spacing/>
        <w:ind/>
        <w:rPr/>
      </w:pPr>
      <w:r>
        <w:br w:type="page" w:clear="all"/>
      </w:r>
      <w:r/>
    </w:p>
    <w:p>
      <w:pPr>
        <w:pBdr/>
        <w:spacing w:after="80" w:before="80"/>
        <w:ind/>
        <w:jc w:val="center"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2"/>
          <w:szCs w:val="22"/>
        </w:rPr>
        <w:t xml:space="preserve">PERNYATAAN DAN KETENTUAN PENGGUNAAN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fff8e1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8"/>
                <w:szCs w:val="18"/>
              </w:rPr>
              <w:t xml:space="preserve">PENTING — BACA SEBELUM MENGGUNAKAN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Buku saku ini disediakan sebagaimana adanya ("as is") semata-mata sebagai alat bantu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edukasi dan referensi klinis. Informasi yang disajikan bersumber dari pedoman global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(WHO AWaRe 2023, panduan IDSA/SSC) dan regulasi nasional (Kemenkes RI, KARS)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yang berlaku pada saat penyusunan di tahun 2026.</w:t>
            </w:r>
            <w:r/>
          </w:p>
        </w:tc>
      </w:tr>
    </w:tbl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Pengguna dianjurkan untuk secara aktif memeriksa u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lang seluruh informasi terapi kepada sumber primer yang tercantum dalam Daftar Pustaka. Ilmu pengetahuan medis, data resistensi antimikroba, serta regulasi dan kebijakan kesehatan dapat mengalami perubahan sewaktu-waktu setelah tanggal penerbitan buku ini.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Buku saku ini tidak dimaksudkan sebagai pengganti penilaian klinis individual, konsultasi kepada dokter spesialis atau apoteker klinis, maupun pedoman tata kelola setempat yang berlaku di fasilitas pelayanan kesehatan masing-masing.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Rekomendasi terapi dalam buku ini bersifat empirik dan harus selalu disesuaikan dengan: (1) kondisi klinis pasien, (2) hasil kultur dan uji kepekaan, (3) antibiogram lokal, serta (4) ketersediaan obat dalam formularium setempat.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Penulis tidak bertanggung jawab atas konsekuensi klinis yang timbul akibat penggunaan langsung informasi dalam buku ini tanpa verifikasi dari sumber primer yang relevan.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center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Hak Cipta © 2026 dr. Putu Cahya Legawa. Seluruh hak cipta dilindungi undang-undang.</w:t>
      </w:r>
      <w:r/>
    </w:p>
    <w:p>
      <w:pPr>
        <w:pBdr/>
        <w:spacing w:after="80" w:before="40" w:line="260" w:lineRule="auto"/>
        <w:ind/>
        <w:jc w:val="center"/>
        <w:rPr/>
      </w:pPr>
      <w:r>
        <w:rPr>
          <w:rFonts w:ascii="Times New Roman" w:hAnsi="Times New Roman" w:eastAsia="Times New Roman" w:cs="Times New Roman"/>
          <w:b w:val="0"/>
          <w:bCs w:val="0"/>
          <w:i/>
          <w:iCs/>
          <w:color w:val="1a1a1a"/>
          <w:sz w:val="20"/>
          <w:szCs w:val="20"/>
        </w:rPr>
        <w:t xml:space="preserve">Diizinkan untuk disalin dan disebarluaskan secara bebas untuk keperluan pendidikan dan non-komersial dengan mencantumkan sumber.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center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Kontak dan informasi lebih lanjut:</w:t>
      </w:r>
      <w:r/>
    </w:p>
    <w:p>
      <w:pPr>
        <w:pBdr/>
        <w:spacing w:after="80" w:before="20"/>
        <w:ind/>
        <w:jc w:val="center"/>
        <w:rPr>
          <w:highlight w:val="none"/>
        </w:rPr>
      </w:pPr>
      <w:r/>
      <w:hyperlink r:id="rId13" w:tooltip="https://legawa.com" w:history="1">
        <w:r>
          <w:rPr>
            <w:rFonts w:ascii="Times New Roman" w:hAnsi="Times New Roman" w:eastAsia="Times New Roman" w:cs="Times New Roman"/>
            <w:b w:val="0"/>
            <w:bCs w:val="0"/>
            <w:i w:val="0"/>
            <w:iCs w:val="0"/>
            <w:color w:val="2874a6"/>
            <w:sz w:val="20"/>
            <w:szCs w:val="20"/>
          </w:rPr>
          <w:t xml:space="preserve">legawa.com</w:t>
        </w:r>
      </w:hyperlink>
      <w:r/>
      <w:r/>
    </w:p>
    <w:p w14:paraId="052A9A25">
      <w:pPr>
        <w:pBdr/>
        <w:spacing w:after="80" w:before="20"/>
        <w:ind/>
        <w:jc w:val="center"/>
        <w:rPr/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e8f5e9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DUKUNG PENULIS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Jika buku saku ini bermanfaat bagi Anda, pertimbangkan untuk memberikan dukungan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sukarela kepada penulis melalui tautan berikut: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saweria.co/haridiva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Setiap dukungan sangat berarti dan memotivasi penulis untuk terus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menyusun materi edukasi medis yang berkualitas secara gratis.</w:t>
            </w:r>
            <w:r/>
          </w:p>
        </w:tc>
      </w:tr>
    </w:tbl>
    <w:p>
      <w:pPr>
        <w:pStyle w:val="763"/>
        <w:pageBreakBefore w:val="true"/>
        <w:pBdr/>
        <w:spacing w:after="14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KATA PENGANTAR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Resis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tensi antimikroba (Antimicrobial Resistance/AMR) telah ditetapkan oleh Organisasi Kesehatan Dunia (WHO) sebagai salah satu ancaman kesehatan global terbesar abad ke-21. Di Indonesia, berbagai laporan surveilans nasional menunjukkan bahwa penggunaan antimik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roba yang tidak bijak masih menjadi tantangan utama di berbagai fasilitas pelayanan kesehatan. Strategi Nasional AMR 2025-2029 menegaskan komitmen Indonesia untuk menanggulangi krisis ini secara sistemik, dengan rumah sakit sebagai ujung tombak intervensi.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Buku saku ini disusun sebagai respons terhadap kebutuhan praktis para tenaga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 kesehatan — khususnya dokter umum, dokter spesialis muda, dan mahasiswa kepaniteraan klinik — yang memerlukan acuan terapi empirik infeksi yang ringkas, berbasis bukti, dan mudah diakses di titik pelayanan (point of care). Seluruh rekomendasi didasarkan p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ada WHO AWaRe Antibiotic Book 2023, panduan internasional IDSA dan Surviving Sepsis Campaign 2021, serta regulasi dan kebijakan nasional yang berlaku, termasuk Permenkes No. 28 Tahun 2021, KMK HK.01.07/MENKES/1596/2024, dan Strategi Nasional AMR 2025-2029.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Cakupan buku ini meliputi infeksi yang paling sering dijumpai dalam praktik klinis sehari-hari: infeksi saluran napas, infeksi saluran kemih, infeksi kulit dan jaringan lunak, infek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si intra-abdominal, serta pendekatan awal sepsis. Selain rekomendasi terapi empirik, buku ini juga menyajikan prinsip de-eskalasi antimikroba dan konversi rute intravena ke oral sebagai bagian tak terpisahkan dari praktik penggunaan antimikroba yang bijak.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Penulis menyadari sepenuhnya bahwa ilmu pengetahuan medis bersifat dinamis. Data pola resistensi,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 rekomendasi terapi, dan kebijakan dapat berubah. Pembaca sangat dianjurkan untuk selalu memverifikasi informasi kepada sumber primer yang tercantum dalam Daftar Pustaka, serta menyesuaikan terapi dengan antibiogram lokal masing-masing fasilitas kesehatan.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Semoga buku saku ini menjadi kontribusi kecil namun berarti dalam upaya bersama mengendalikan resistensi antimikroba di Indonesia, demi terwujudnya penggunaan antimikroba yang bijak di setiap lini pelayanan kesehatan.</w:t>
      </w:r>
      <w:r/>
    </w:p>
    <w:p>
      <w:pPr>
        <w:pBdr/>
        <w:spacing w:after="16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right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Sragen, Juni 2026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right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Penulis,</w:t>
      </w:r>
      <w:r/>
    </w:p>
    <w:p>
      <w:pPr>
        <w:pBdr/>
        <w:spacing w:after="16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right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20"/>
          <w:szCs w:val="20"/>
        </w:rPr>
        <w:t xml:space="preserve">dr. Putu Cahya Legawa</w:t>
      </w:r>
      <w:r/>
    </w:p>
    <w:p>
      <w:pPr>
        <w:pStyle w:val="763"/>
        <w:pageBreakBefore w:val="true"/>
        <w:pBdr/>
        <w:spacing w:after="14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TENTANG PENULIS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20" w:before="40"/>
        <w:ind/>
        <w:jc w:val="center"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6"/>
          <w:szCs w:val="26"/>
        </w:rPr>
        <w:t xml:space="preserve">dr. Putu Cahya Legawa</w:t>
      </w:r>
      <w:r/>
    </w:p>
    <w:p>
      <w:pPr>
        <w:pBdr/>
        <w:spacing w:after="80" w:before="0"/>
        <w:ind/>
        <w:jc w:val="center"/>
        <w:rPr/>
      </w:pPr>
      <w:r>
        <w:rPr>
          <w:rFonts w:ascii="Times New Roman" w:hAnsi="Times New Roman" w:eastAsia="Times New Roman" w:cs="Times New Roman"/>
          <w:b w:val="0"/>
          <w:bCs w:val="0"/>
          <w:i/>
          <w:iCs/>
          <w:color w:val="2874a6"/>
          <w:sz w:val="20"/>
          <w:szCs w:val="20"/>
        </w:rPr>
        <w:t xml:space="preserve">Dokter Umum | Praktisi PPRA | Penulis Medis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dr. Putu Cahya Legawa adal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ah dokter umum yang berpraktik di Rumah Sakit Umum Sarila Husada dan Klinik Pratama Rawat Jalan Prasma Diagnostika, Sragen, Jawa Tengah. Beliau saat ini menjabat sebagai Wakil Ketua I Tim Program Pengendalian Resistensi Antimikroba (PRA) RSU Sarila Husada.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Di bidang pengendalian resistensi antimikroba, dr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. Cahya terlibat aktif dalam penyusunan pedoman, prosedur operasional baku, dan surveilans penggunaan antimikroba kualitatif maupun kuantitatif di tingkat institusi, serta dalam persiapan akreditasi KARS standar STARKES 2024 aspek PPRA (Prognas 6 dan 6.1).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Selain aktivitas klinisnya, beliau dikenal sebagai penulis fiksi yang aktif dan pemerhati sastra. Karya-karya dan pemikirannya dapat dijumpai di berbagai platform digital di bawah nama pena haridiva.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000"/>
        <w:gridCol w:w="46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Platform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Tautan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Blog / Portofolio Profesional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legawa.com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LinkedIn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linkedin.com/in/haridiva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GitHub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github.com/haridiva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Dukungan / Donasi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saweria.co/haridiva</w:t>
            </w:r>
            <w:r/>
          </w:p>
        </w:tc>
      </w:tr>
    </w:tbl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Untuk pertanyaan akademis, kolaborasi, atau umpan balik terkait isi buku ini, pembaca dapat menghubungi penulis melalui platform di atas.</w:t>
      </w:r>
      <w:r/>
    </w:p>
    <w:p>
      <w:pPr>
        <w:pStyle w:val="763"/>
        <w:pageBreakBefore w:val="true"/>
        <w:pBdr/>
        <w:spacing w:after="14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DAFTAR SINGKATAN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000"/>
        <w:gridCol w:w="46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Singkatan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Kepanjangan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AMR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Antimicrobial Resistance (Resistensi Antimikroba)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Access, Watch, Reserve (Klasifikasi Antimikroba WHO)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Community-Acquired Pneumonia (Pneumonia Komunitas)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CA-UTI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Catheter-Associated Urinary Tract Infection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CRP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C-Reactive Protein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DDD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Defined Daily Dose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DPJP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Dokter Penanggung Jawab Pelayanan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ESKAPE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Enterococcus, Staphylococcus, Klebsiella, Acinetobacter, Pseudomonas, Enterobacter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ESBL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Extended-Spectrum Beta-Lactamase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FKTP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Fasilitas Kesehatan Tingkat Pertama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HAP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Hospital-Acquired Pneumonia (Pneumonia Nosokomial)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HCAP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Healthcare-Associated Pneumonia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I&amp;D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Insisi dan Drainase (Incision and Drainage)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IDSA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Infectious Diseases Society of America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ILO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Infeksi Luka Operasi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ISK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Infeksi Saluran Kemih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IV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Intravena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MAP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Mean Arterial Pressure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MDR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Multi-Drug Resistant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MDRO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Multi-Drug Resistant Organism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MRSA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Methicillin-Resistant Staphylococcus aureus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OMA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Otitis Media Akut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PCT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Procalcitonin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PGA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Penatagunaan Antimikroba (Antimicrobial Stewardship)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PK/PD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Farmakokinetik / Farmakodinamik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PPRA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Program Pengendalian Resistensi Antimikroba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RADT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Rapid Antigen Detection Test (Rapid Strep Test)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SBP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Spontaneous Bacterial Peritonitis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SOFA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Sequential Organ Failure Assessment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SSC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Surviving Sepsis Campaign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TB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Tuberkulosis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VAP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Ventilator-Associated Pneumonia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WHO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World Health Organization</w:t>
            </w:r>
            <w:r/>
          </w:p>
        </w:tc>
      </w:tr>
    </w:tbl>
    <w:p>
      <w:pPr>
        <w:pageBreakBefore w:val="true"/>
        <w:pBdr/>
        <w:spacing w:after="2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0"/>
          <w:szCs w:val="20"/>
        </w:rPr>
        <w:t xml:space="preserve">BAB 1</w:t>
      </w:r>
      <w:r/>
    </w:p>
    <w:p>
      <w:pPr>
        <w:pStyle w:val="763"/>
        <w:pBdr/>
        <w:spacing w:after="10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AMR DAN PRINSIP PENGGUNAAN ANTIMIKROBA BIJAK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1.1 Krisis Resistensi Antimikroba Global dan Indonesia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Resistensi antimikroba (AMR) merupakan fenomena alami yang dipercepat secara masif oleh penggunaan antimikroba yang tidak tepat. WHO memperkirakan bahwa AMR bertanggung jawab atas lebih dari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 1,27 juta kematian langsung per tahun secara global (Lancet, 2022). Laporan AMRIN-Study di Indonesia (2000-2005) menunjukkan bahwa 43% isolat Escherichia coli dari masyarakat sudah resisten terhadap ampisilin, meningkat menjadi 81% pada pasien rawat inap.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Strategi Nasional AMR 2025-2029 mene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mpatkan rumah sakit sebagai ujung tombak intervensi, khususnya melalui Program Pengendalian Resistensi Antimikroba (PPRA) yang kini menjadi komponen Program Nasional (Prognas 6 dan 6.1) dalam Standar Akreditasi STARKES 2024 (KMK HK.01.07/MENKES/1596/2024).</w:t>
      </w:r>
      <w:r/>
    </w:p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1.2 Klasifikasi AWaRe WHO 2023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WHO mengklasifikasikan antibiotik ke dalam tiga kelompok AWaRe untuk memandu penggunaan yang rasional dan mengurangi tekanan seleksi resistensi. Target nasional: proporsi konsumsi kategori ACCESS &gt; 60% dari total DDD antibiotik.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00"/>
        <w:gridCol w:w="3400"/>
        <w:gridCol w:w="23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9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Kategori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Deskripsi Singkat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Target Konsumsi</w:t>
            </w:r>
            <w:r/>
          </w:p>
        </w:tc>
      </w:tr>
      <w:tr>
        <w:trPr/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9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(Akses)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Antibiotik lini pertama untuk indikasi umum; spektrum sempit; tersedia luas; efektif; murah. Contoh: amoksisilin, ko-trimoksazol, cefazolin, metronidazol.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&gt; 60% total DDD</w:t>
            </w:r>
            <w:r/>
          </w:p>
        </w:tc>
      </w:tr>
      <w:tr>
        <w:trPr/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9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(Waspadai)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Efektivitas tinggi namun risiko resistensi lebih besar; diprioritaskan untuk indikasi yang lebih spesifik. Contoh: ceftriaxon, ciprofloxacin, azitromisin, cefoperazon-sulbaktam.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&lt; 40% total DDD</w:t>
            </w:r>
            <w:r/>
          </w:p>
        </w:tc>
      </w:tr>
      <w:tr>
        <w:trPr/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9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RESERVE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(Cadangkan)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Pilihan terakhir untuk infeksi MDR; pembatasan ketat; hanya pada indikasi terdokumentasi dan terkonfirmasi. Contoh: meropenem, vankomisin, kolistin, linezolid.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Seminimal mungkin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1.3 Lima Prinsip Penggunaan Antimikroba Bijak (5T)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600"/>
        <w:gridCol w:w="50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Prinsip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Penjelasan Kunci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Tepat Indikasi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Antibiotik hanya untuk infeksi yang dicurigai atau terbukti bakterial. Infeksi virus tidak memerlukan antibiotik.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Tepat Obat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Pilih berdasarkan dugaan etiologi, pola kepekaan lokal (antibiogram), dan spektrum tersempit yang efektif.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Tepat Dosis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Dosis disesuaikan dengan berat badan, fungsi ginjal/hati, dan prinsip PK/PD (time- vs concentration-dependent).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Tepat Rute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Preferensi oral jika absorpsi adekuat; IV hanya jika kondisi kritis, gangguan absorpsi GI, atau tidak ada formulasi oral.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Tepat Durasi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Jangan melebihi durasi yang direkomendasikan. Evaluasi dan de-eskalasi wajib dilakukan dalam 48-72 jam.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1.4 Kultur Sebelum Terapi: Prinsip Dasar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e8f5e9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Ambil spesimen kultur yang relevan SEBELUM pemberian antibiotik pertama,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kecuali jika pengambilan akan menunda terapi secara bermakna pada kegawatan.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Hasil kultur digunakan untuk DE-ESKALASI terapi dalam 48-72 jam.</w:t>
            </w:r>
            <w:r/>
          </w:p>
        </w:tc>
      </w:tr>
    </w:tbl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800"/>
        <w:gridCol w:w="48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Sumber Infeksi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Spesimen yang Direkomendasikan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Sepsis / infeksi berat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2 set kultur darah (aerob + anaerob) dari vena berbeda dalam 10 menit pertama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Infeksi saluran kemih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Urine porsi tengah (midstream clean-catch); urine kateter baru jika CA-UTI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Pneumonia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Sputum ekspektorasi dalam (bukan saliva) + kultur darah; BAL jika terintubasi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Infeksi kulit / luka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Swab luka dalam (bukan permukaan); pus aspirasi jika ada abses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Infeksi intra-abdominal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Kultur cairan peritoneal/abses intraoperatif + kultur darah</w:t>
            </w:r>
            <w:r/>
          </w:p>
        </w:tc>
      </w:tr>
    </w:tbl>
    <w:p>
      <w:pPr>
        <w:pageBreakBefore w:val="true"/>
        <w:pBdr/>
        <w:spacing w:after="2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0"/>
          <w:szCs w:val="20"/>
        </w:rPr>
        <w:t xml:space="preserve">BAB 2</w:t>
      </w:r>
      <w:r/>
    </w:p>
    <w:p>
      <w:pPr>
        <w:pStyle w:val="763"/>
        <w:pBdr/>
        <w:spacing w:after="10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INFEKSI SALURAN NAPAS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2.1 Bronkitis Akut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fff8e1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Bronkitis akut hampir SELALU disebabkan virus.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Antibiotik TIDAK diindikasikan pada bronkitis akut tanpa komplikasi.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Tata laksana: simtomatik (parasetamol/ibuprofen, hidrasi cukup, istirahat).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Pertimbangkan antibiotik HANYA jika: demam &gt; 38°C + sputum purulen + kenaikan CRP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signifikan, dan pneumonia telah disingkirkan dengan rontgen dada.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2.2 Faringitis dan Tonsilofaringitis Bakterial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Sebagian besar faringitis disebabkan virus. Antibiotik hanya diindikasikan jika kecurigaan Group A Streptococcus (GAS) tinggi: skor Centor/McIsaac &gt;= 3 atau RADT positif.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Kondisi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Tonsilofaringitis GAS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 500 mg PO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Eritromisin 500 mg PO 4x/hari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Klindamisin 300 mg PO 3x/hari (alergi penisilin)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10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Rekuren / gagal lini 1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Amoksisilin-Klavulanat 625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Klindamisin 300 mg PO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10 hari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2.3 Otitis Media Akut (OMA)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Kondisi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 / Catatan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OMA ringan, anak &gt; 2 tahun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Watchful waiting 48-72 jam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(analgesik saja)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 jika tidak membaik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Tidak perlu AB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48-72 jam observasi dulu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OMA berat atau anak &lt; 2 tahun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 40-50 mg/kgBB/hr PO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Amoksisilin-Klavulanat (DRSP risk / gagal)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7-10 hari (&lt;2 th)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 (&gt;=2 th)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OMA rekuren / gagal oral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50 mg/kgBB IM/IV 1x/hari (3 hari)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Konsul Sp.THT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3 hari IM/IV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2.4 Sinusitis Bakterial Akut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Antibiotik dipertimbangkan jika: durasi gejala &gt; 10 hari ATAU perburukan setelah 5-7 hari (double worsening) ATAU gejala berat (demam &gt;= 39 derajat C, nyeri fasial berat).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Derajat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Ringan-sedang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 500 mg PO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Amoksisilin-Klavulanat 625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7-10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Berat / tidak respons lini 1 (3-5 hr)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Amoksisilin-Klavulanat 875+125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Levofloxacin 500 mg PO 1x/hari (alergi penisilin)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/ 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7-10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Rawat inap / komplikasi intrakranial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2 g IV 1x/hari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Metronidazol 500 mg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Konsul Sp.THT + Sp.BS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10-14 hari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2.5 Pneumonia Komunitas (CAP)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Stratifikasi kepa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rahan dengan skor CURB-65: 1 poin masing-masing untuk Confusion, Urea &gt; 7 mmol/L, Respiratory rate &gt;= 30/mnt, Blood pressure sistolik &lt; 90 atau diastolik &lt;= 60 mmHg, Age &gt;= 65 tahun. Skor 0-1: rawat jalan; 2: pertimbangkan rawat inap; &gt;= 3: rawat inap/ICU.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Derajat (CURB-65)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Ringan (0-1)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Rawat jalan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 500 mg PO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+/- Azitromisin 500 mg 1x/hari jika atipik dicurigai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Azitromisin 500 mg PO 1x/hari (alergi penisilin)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Sedang (2)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Rawat inap non-ICU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Ampisilin-Sulbaktam 1,5 g IV 4x/hari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Azitromisin 500 mg IV/PO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1-2 g IV 1x/hari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Azitromisin 500 mg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+ 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Berat (&gt;= 3)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ICU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2 g IV 1x/hari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Azitromisin 500 mg IV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Cefotaksim 2 g IV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Levofloxacin 500 mg IV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7-10 hari</w:t>
            </w:r>
            <w:r/>
          </w:p>
        </w:tc>
      </w:tr>
    </w:tbl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fff8e1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Pertimbangkan investigasi TB (GeneXpert sputum + foto toraks) terutama pada pasien berisiko tinggi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(HIV, malnutrisi, riwayat kontak TB) di daerah endemis, sebelum memulai antibiotik empirik CAP.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De-eskalasi wajib dilakukan dalam 48-72 jam berdasarkan hasil kultur sputum dan darah.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2.6 Pneumonia Nosokomial (HAP / VAP)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HAP: pneumonia timbul &gt; 48 jam setelah masuk RS, tidak sedang dalam proses inkubasi pada saat masuk. VAP: pneumonia timbul &gt; 48 jam setelah intubasi endotrakeal. Patogen dominan: ESKAPE organisms, termasuk CRAB dan Klebsiella ESBL.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Risiko MDR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Eskalasi / 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Rendah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(HAP awal, tanpa AB sebelumnya, &lt; 5 hr rawat)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Amoksisilin-Klavulanat 1,2 g IV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Ceftriaxon 2 g IV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Cefotaksim 2 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/ 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Sedang-Tinggi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(HAP lanjut, riwayat AB, ICU)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 2 g IV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Amikacin 15-20 mg/kgBB IV 1x/hari (MDR P. aeruginosa / CRAB)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7-14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VAP (terintubasi, ICU)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 2 g IV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Amikacin 15-20 mg/kgBB IV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Meropenem 1-2 g IV 3x/hari (RESERVE, indikasi ketat)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 / (RESERVE)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7-14 hari;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de-eskalasi wajib</w:t>
            </w:r>
            <w:r/>
          </w:p>
        </w:tc>
      </w:tr>
    </w:tbl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ffebee"/>
            <w:tcBorders>
              <w:top w:val="single" w:color="1a4e8c" w:sz="1" w:space="0"/>
              <w:left w:val="single" w:color="1a4e8c" w:sz="1" w:space="0"/>
              <w:bottom w:val="single" w:color="1a4e8c" w:sz="1" w:space="0"/>
              <w:right w:val="single" w:color="1a4e8c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Penggunaan Meropenem dan carbapenem lain hanya atas indikasi yang terdokumentasi dengan bukti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kultur dan sensitivitas, atau atas rekomendasi Tim PRA / Sp. Penyakit Infeksi.</w:t>
            </w:r>
            <w:r/>
          </w:p>
        </w:tc>
      </w:tr>
    </w:tbl>
    <w:p>
      <w:pPr>
        <w:pageBreakBefore w:val="true"/>
        <w:pBdr/>
        <w:spacing w:after="2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0"/>
          <w:szCs w:val="20"/>
        </w:rPr>
        <w:t xml:space="preserve">BAB 3</w:t>
      </w:r>
      <w:r/>
    </w:p>
    <w:p>
      <w:pPr>
        <w:pStyle w:val="763"/>
        <w:pBdr/>
        <w:spacing w:after="10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INFEKSI SALURAN KEMIH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3.1 ISK Bawah Tanpa Komplikasi (Sistitis Akut)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ISK bawah tanpa komplikasi: infeksi kandung kemih pada w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anita sehat, non-hamil, tanpa kelainan struktural/fungsional saluran kemih, tanpa demam atau tanda infeksi sistemik. Fluorokuinolon (siprofloksasin, levofloxacin) sebaiknya tidak digunakan sebagai lini pertama untuk meminimalkan tekanan seleksi resistensi.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Populasi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Wanita dewasa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Ko-trimoksazol 960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Fosfomisin 3 g PO dosis tunggal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Nitrofurantoin 100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Cefixim 200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3 hari (Ko-trim/Fosfo)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 (lainnya)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Wanita hamil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Sefaleksin 500 mg PO 4x/hari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Amoksisilin-Klav 625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Nitrofurantoin (hindari trimester III);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Konsul Sp.OG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Pria dewasa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Ko-trimoksazol 960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Cefixim 200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Siprofloksasin 500 mg PO 2x/hari (jika kultur sensitif)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/ 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hari; cari penyebab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3.2 Pielonefritis Akut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Infeksi parenkim ginjal. Manifestasi khas: demam, menggigil, nyeri sudut costovertebral, mual/muntah. Selalu ambil kultur urine dan kultur darah sebelum antibiotik pertama.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Derajat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Ringan-sedang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(rawat jalan)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Siprofloksasin 500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Ko-trimoksazol 960 mg PO 2x/hari (jika sensitivitas terjamin dari pola lokal)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 875+125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Cefixim 200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 / 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10-14 hari total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Berat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(rawat inap, septik)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1-2 g IV 1x/hari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(switch oral setelah afebris 24-48 jam)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Siprofloksasin 400 mg IV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Ampisilin-Sulbaktam 1,5 g IV 4x/hari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14 hari total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Komplikasi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(abses ginjal, obstruksi)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2 g IV 1x/hari</w:t>
            </w:r>
            <w:r/>
          </w:p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Metronidazol 500 mg IV 3x/hari;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Konsul Sp. Urologi untuk drainase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 2 g IV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14-21 hari + drainase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3.3 ISK Terkait Kateter (CA-UTI)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e8f5e9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Jangan mengobati bakteriuria asimtomatik terkait kateter (ASB).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Antibiotik hanya diberikan jika ada gejala klinis (demam, nyeri suprapubik/flank,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perubahan status mental) TANPA penyebab lain yang lebih jelas.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8"/>
                <w:szCs w:val="18"/>
              </w:rPr>
              <w:t xml:space="preserve">Langkah pertama: Cabut atau ganti kateter sesegera mungkin SEBELUM antibiotik.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Ambil kultur urine dari kateter BARU setelah penggantian, sebelum antibiotik.</w:t>
            </w:r>
            <w:r/>
          </w:p>
        </w:tc>
      </w:tr>
    </w:tbl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Derajat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Ringan-sedang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(tanpa bukti bakteremia)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Cefixim 200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Ko-trimoksazol 960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Siprofloksasin 500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(jika kultur sensitif)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/ 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Berat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(demam tinggi, bakteremia)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1-2 g IV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Siprofloksasin 400 mg IV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10-14 hari</w:t>
            </w:r>
            <w:r/>
          </w:p>
        </w:tc>
      </w:tr>
    </w:tbl>
    <w:p>
      <w:pPr>
        <w:pageBreakBefore w:val="true"/>
        <w:pBdr/>
        <w:spacing w:after="2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0"/>
          <w:szCs w:val="20"/>
        </w:rPr>
        <w:t xml:space="preserve">BAB 4</w:t>
      </w:r>
      <w:r/>
    </w:p>
    <w:p>
      <w:pPr>
        <w:pStyle w:val="763"/>
        <w:pBdr/>
        <w:spacing w:after="10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INFEKSI KULIT DAN JARINGAN LUNAK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4.1 Impetigo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Jenis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Non-bulosa, lesi terbatas (&lt; 5 lesi kecil)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Mupirocin 2% salep topikal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Asam fusidat topikal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-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Topikal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 topikal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Non-bulosa, lesi luas / tidak respons topikal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Sefaleksin 25-50 mg/kgBB/hr PO 4x/hari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Amoksisilin-Klav 25 mg/kgBB/hr PO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Klindamisin 10-20 mg/kgBB/hr PO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Bulosa (S. aureus penghasil toksin)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Sefaleksin 500 mg PO 4x/hari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Kloksasilin 500 mg PO 4x/hari (jika tersedia)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Klindamisin 300 mg PO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4.2 Selulitis dan Erisipelas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Selulitis: infeksi dermis dan jaringan subkutan dengan batas tidak tegas (umumnya S. aureus, Streptococcus spp.). Erisipelas: infeksi lapisan superfisial dermis dengan batas tegas dan elevasi (umumnya Streptococcus grup A).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00"/>
        <w:gridCol w:w="1800"/>
        <w:gridCol w:w="1450"/>
        <w:gridCol w:w="470"/>
        <w:gridCol w:w="186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Derajat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Lini Pertama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Alternatif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 / Catatan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Ringan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(rawat jalan, tanpa sistemik)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 500 mg PO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Sefaleksin 500 mg PO 4x/hari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Klindamisin 300 mg PO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(suspek MRSA-CA)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evaluasi ulang 48-72 jam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Sedang-Berat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(rawat inap, toksik)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Ampisilin-Sulbaktam 1,5-3 g IV 4x/hari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Cefazolin 1-2 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Klindamisin 600 mg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7-14 hari;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switch oral jika membaik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Suspek MRSA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(gagal beta-laktam, pus)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Ko-trimoksazol 960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(MRSA-CA, rawat jalan)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5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Rujuk / konsul Sp. Penyakit Infeksi;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Vankomisin IV (RESERVE) jika rawat inap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7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/ (RESERVE)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6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Kultur wajib; sesuaikan sensitivitas</w:t>
            </w:r>
            <w:r/>
          </w:p>
        </w:tc>
      </w:tr>
    </w:tbl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fff8e1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Tandai batas lesi dengan spidol permanen untuk memantau perkembangan setiap 24-48 jam.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Elevasi anggota yang terkena untuk mengurangi edema.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Garis merah meluas ke proksimal + demam tinggi: pertimbangkan LRINEC score untuk menyingkirkan NF.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4.3 Abses Kulit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Terapi utama abses kulit adalah Insisi dan Drainase (I&amp;D). Antibiotik rutin TIDAK direkomendasikan untuk abses kulit tanpa komplikasi yang telah dilakukan I&amp;D adekuat.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400"/>
        <w:gridCol w:w="2700"/>
        <w:gridCol w:w="500"/>
        <w:gridCol w:w="20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Kondisi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Terapi Utama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Catatan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Abses tanpa komplikasi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(I&amp;D adekuat, &lt; 2 cm selulitis)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Insisi &amp; Drainase + irigasi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Antibiotik TIDAK diperlukan rutin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Tidak perlu AB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Kultur pus tetap direkomendasikan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Abses + selulitis meluas &gt; 2 cm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demam atau imunokompromais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I&amp;D + Ko-trimoksazol 960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Sefaleksin 500 mg PO 4x/hari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 pasca I&amp;D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Abses berat, rekuren, atau tidak respons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I&amp;D + Klindamisin 600 mg IV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Konsul Sp. Bedah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Kultur wajib; sesuaikan sensitivitas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4.4 Infeksi Luka Operasi (ILO)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400"/>
        <w:gridCol w:w="2700"/>
        <w:gridCol w:w="500"/>
        <w:gridCol w:w="20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Derajat ILO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Tindakan + Antibiotik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 / Catatan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Superfisial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(kulit &amp; subkutan)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Buka luka + drainase;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 625 mg PO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hari; kultur luka dalam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Dalam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(fascia/otot)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Debridemen bedah;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Ampisilin-Sulbaktam 1,5-3 g IV 4x/hari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Rawat inap; sesuaikan kultur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Rongga/organ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(intra-abdominal)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Re-eksplorasi bedah;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1-2 g IV 1x/hari + Metronidazol 500 mg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Rawat inap; 5-7 hr pasca source control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4.5 Necrotizing Fasciitis — KEGAWATAN BEDAH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ffebee"/>
            <w:tcBorders>
              <w:top w:val="single" w:color="1a4e8c" w:sz="1" w:space="0"/>
              <w:left w:val="single" w:color="1a4e8c" w:sz="1" w:space="0"/>
              <w:bottom w:val="single" w:color="1a4e8c" w:sz="1" w:space="0"/>
              <w:right w:val="single" w:color="1a4e8c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8"/>
                <w:szCs w:val="18"/>
              </w:rPr>
              <w:t xml:space="preserve">PERINGATAN: NECROTIZING FASCIITIS ADALAH KEGAWATAN BEDAH MUTLAK.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Tanda kecurigaan: nyeri tidak proporsional terhadap tampilan lesi, edema melampaui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batas eritema, bula, krepitasi jaringan, kulit abu-abu/nekrotik, toksisitas sistemik berat.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LRINEC score &gt;= 6 mendukung diagnosis.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TATA LAKSANA SEGERA: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1. Konsul/rujuk SEGERA ke Sp. Bedah — jangan tunda operasi debridemen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2. Stabilisasi hemodinamik dan resusitasi cairan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3. Antibiotik empirik pre-operatif: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   Meropenem 1-2 g IV 3x/hari + Klindamisin 600 mg IV 3x/hari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   (Klindamisin menghambat produksi toksin streptokok/stafilokok)</w:t>
            </w:r>
            <w:r/>
          </w:p>
        </w:tc>
      </w:tr>
    </w:tbl>
    <w:p>
      <w:pPr>
        <w:pageBreakBefore w:val="true"/>
        <w:pBdr/>
        <w:spacing w:after="2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0"/>
          <w:szCs w:val="20"/>
        </w:rPr>
        <w:t xml:space="preserve">BAB 5</w:t>
      </w:r>
      <w:r/>
    </w:p>
    <w:p>
      <w:pPr>
        <w:pStyle w:val="763"/>
        <w:pBdr/>
        <w:spacing w:after="10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INFEKSI INTRA-ABDOMINAL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5.1 Apendisitis Akut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400"/>
        <w:gridCol w:w="2600"/>
        <w:gridCol w:w="800"/>
        <w:gridCol w:w="18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Klasifikasi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Antibiotik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 / Catatan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Tidak terkomplikasi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(tanpa perforasi, tanpa abses)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Cefazolin 1-2 g IV single dose pre-operatif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Metronidazol 500 mg IV single dose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&lt;= 24 jam (profilaksis);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hentikan pasca operasi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Terkomplikasi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(perforasi, abses, gangrenosa)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1-2 g IV 1x/hari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Metronidazol 500 mg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 + 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4-7 hari pascaoperasi;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hingga afebris + leukosit normal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Non-operatif (selektif, tanpa komplikasi)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 1,2 g IV 3x/hari;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switch ke 625 mg PO 2x/hari jika membaik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7-10 hari; monitor ketat;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operasi jika perburukan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5.2 Kolesistitis Akut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Stratifikasi berdasarkan Tokyo Guidelines 2018: Grade I (ringan), Grade II (sedang), Grade III (berat/disfungsi organ).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200"/>
        <w:gridCol w:w="2700"/>
        <w:gridCol w:w="700"/>
        <w:gridCol w:w="20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2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Derajat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Antibiotik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 / Catatan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Grade I — Ringan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(ambulatori)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 625 mg PO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Sefaleksin 500 mg PO 4x/hari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hari; kolesistektomi elektif dalam 72 jam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Grade II — Sedang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(rawat inap)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Ampisilin-Sulbaktam 1,5-3 g IV 4x/hari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Ceftriaxon 1-2 g IV 1x/hari + Metronidazol 500 mg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/ 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hari; kolesistektomi dini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Grade III — Berat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(disfungsi organ)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 2 g IV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Konsul Sp. Bedah + Sp. Penyakit Dalam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7-14 hari; drainase perkutan + kolesistektomi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5.3 Peritonitis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400"/>
        <w:gridCol w:w="2500"/>
        <w:gridCol w:w="700"/>
        <w:gridCol w:w="20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Jenis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Antibiotik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 / Catatan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Primer (SBP)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Sirosis + asites terinfeksi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5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2 g IV 1x/hari</w:t>
            </w:r>
            <w:r/>
          </w:p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Cefotaksim 2 g IV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Albumin 1,5 g/kgBB IV hari 1 dan 3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hari; profilaksis sekunder jika protein asites &lt; 1,5 g/dL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Sekunder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(perforasi viskus)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5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1-2 g IV 1x/hari</w:t>
            </w:r>
            <w:r/>
          </w:p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Metronidazol 500 mg IV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Cefoperazon-Sulbaktam 2 g IV 2x/hari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4 hari pasca source control adekuat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4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Nosokomial / MDR risk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(imunosupresi, rawat ICU)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5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 2 g IV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Amikacin 15-20 mg/kgBB IV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7-14 hari; de-eskalasi berdasarkan kultur</w:t>
            </w:r>
            <w:r/>
          </w:p>
        </w:tc>
      </w:tr>
    </w:tbl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e8f5e9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Source control (drainase/debridemen) adalah pilar utama tata laksana infeksi intra-abdominal.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Antibiotik tidak menggantikan intervensi bedah yang adekuat.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Durasi antibiotik post source control dapat dipersingkat hingga 4 hari jika klinis membaik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(PCT menurun, afebris, leukosit normal) — Solomkin et al., IDSA 2010.</w:t>
            </w:r>
            <w:r/>
          </w:p>
        </w:tc>
      </w:tr>
    </w:tbl>
    <w:p>
      <w:pPr>
        <w:pageBreakBefore w:val="true"/>
        <w:pBdr/>
        <w:spacing w:after="2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0"/>
          <w:szCs w:val="20"/>
        </w:rPr>
        <w:t xml:space="preserve">BAB 6</w:t>
      </w:r>
      <w:r/>
    </w:p>
    <w:p>
      <w:pPr>
        <w:pStyle w:val="763"/>
        <w:pBdr/>
        <w:spacing w:after="10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PENDEKATAN AWAL SEPSIS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/>
          <w:iCs/>
          <w:color w:val="2874a6"/>
          <w:sz w:val="18"/>
          <w:szCs w:val="18"/>
        </w:rPr>
        <w:t xml:space="preserve">Bagian ini diperbarui berdasarkan Surviv</w:t>
      </w:r>
      <w:r>
        <w:rPr>
          <w:rFonts w:ascii="Times New Roman" w:hAnsi="Times New Roman" w:eastAsia="Times New Roman" w:cs="Times New Roman"/>
          <w:b w:val="0"/>
          <w:bCs w:val="0"/>
          <w:i/>
          <w:iCs/>
          <w:color w:val="2874a6"/>
          <w:sz w:val="18"/>
          <w:szCs w:val="18"/>
        </w:rPr>
        <w:t xml:space="preserve">ing Sepsis Campaign (SSC) International Guidelines 2026 (Prescott, Antonelli, Alhazzani et al., Crit Care Med &amp; Intensive Care Med, Maret 2026), yang memuat 129 pernyataan rekomendasi — 46 di antaranya merupakan topik baru yang belum dibahas pada SSC 2021.</w:t>
      </w:r>
      <w:r/>
    </w:p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6.1 Definisi Sepsis-3 (Singer et al., JAMA 2016)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Definisi Sepsis-3 tidak mengalami perubahan dalam SSC 2026. Kriteria berikut tetap menjadi acuan utama.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000"/>
        <w:gridCol w:w="46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Kondisi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Definisi Operasional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Sepsis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Disfungsi organ yang mengancam jiwa akibat disregulasi respons tubuh terhadap infeksi.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Kriteria: perubahan total skor SOFA &gt;= 2 poin yang disebabkan oleh infeksi.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Syok Septik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Sepsis + kebutuhan vasopressor untuk mempertahankan MAP &gt;= 65 mmHg,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DAN laktat serum &gt; 2 mmol/L meskipun resusitasi cairan adekuat sudah diberikan.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qSOFA (skrining)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Skrining cepat di luar ICU: &gt;= 2 dari 3 kriteria:</w:t>
            </w:r>
            <w:r/>
          </w:p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(1) Frekuensi napas &gt;= 22/mnt, (2) Perubahan status mental, (3) Tekanan sistolik &lt;= 100 mmHg.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qSOFA positif: hitung skor SOFA penuh dan pertimbangkan diagnosis sepsis.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6.2 Timing Antimikroba — Pembaruan Kritis SSC 2026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SSC 2026 memperkenalkan stratifikasi waktu pemberian antimikroba berdasarkan probabilitas diagnosis dan ada tidaknya syok. Ini merupakan perubahan penting dari SSC 2021 yang menerapkan target 1 jam secara seragam.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700"/>
        <w:gridCol w:w="3100"/>
        <w:gridCol w:w="18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Kategori Pasien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Rekomendasi Waktu Pemberian AB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Kekuatan Rekomendasi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Syok septik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(probable/definite)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SEGERA — idealnya dalam 1 jam sejak dikenali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Rekomendasi KUAT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(bukti sangat rendah)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Sepsis probable/definite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TANPA syok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1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SEGERA — idealnya dalam 1 jam sejak dikenali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Rekomendasi KUAT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(bukti sangat rendah)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Sepsis POSSIBLE tanpa syok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(diagnosis belum pasti)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1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Lakukan evaluasi cepat terstruktur (rapid assessment).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Jika kecurigaan infeksi tetap ada, berikan AB dalam 3 jam sejak kecurigaan pertama.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Rekomendasi Kondisional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(bukti sangat rendah)</w:t>
            </w:r>
            <w:r/>
          </w:p>
        </w:tc>
      </w:tr>
    </w:tbl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fff8e1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KUNCI SSC 2026: Dokter HARUS melakukan penilaian cepat kemungkinan infeksi vs non-infeksi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pada pasien dengan suspek sepsis tanpa syok SEBELUM memutuskan pemberian antibiotik.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Pada sepsis POSSIBLE tanpa syok: window 3 jam evaluasi diperbolehkan.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Pada syok septik atau sepsis PROBABLE/DEFINITE: berikan antibiotik SEGERA, idealnya &lt;= 1 jam.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6.3 Resusitasi Hemodinamik (SSC 2026)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SSC 2026 mempertahankan prinsip dasar resusitasi namun memberikan nuansa lebih pada pilihan cairan dan pendekatan bertahap.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00"/>
        <w:gridCol w:w="3300"/>
        <w:gridCol w:w="18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Komponen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Rekomendasi SSC 2026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Perubahan vs 2021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Kultur darah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3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Ambil SESEGERA MUNGKIN, idealnya SEBELUM antimikroba.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Pada pasien hipotensi: jangan tunda antibiotik hanya untuk menunggu hasil kultur.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Dipertahankan + klarifikasi prioritas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Cairan lini pertama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3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Kristaloid sebagai cairan resusitasi lini pertama.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Gunakan balanced crystalloids (Ringer Laktat/Asetat) daripada NaCl 0,9%.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DITINGKATKAN: balanced &gt; saline (upgraded)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Volume awal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3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Minimal 30 mL/kgBB kristaloid dalam 3 jam pertama pada sepsis-induced hypoperfusion/syok.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Lakukan reassessment frequent untuk hindari over/under-resusitasi.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Dipertahankan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Vasopressor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3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Norepinefrin sebagai vasopressor lini pertama.</w:t>
            </w:r>
            <w:r/>
          </w:p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Dapat dimulai melalui akses PERIFER — tidak perlu menunggu pemasangan CVC.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Pada syok tidak stabil: vasopressor dan cairan dapat diberikan bersamaan.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BARU: peripheral start; concurrent dengan cairan jika tidak stabil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Target MAP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MAP &gt;= 65 mmHg. Untuk pasien usia &gt;= 65 tahun: target MAP 60-65 mmHg dianggap cukup.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BARU: target lebih rendah untuk lansia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5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Monitor resusitasi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3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Gunakan dynamic measures (variasi tekanan nadi, passive leg raise, dll.).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Pantau laktat serial pada sepsis dengan peningkatan laktat atau syok septik.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Dipertahankan + capillary refill time sebagai adjunct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6.4 Terapi Empirik Sepsis Komunitas (Community-Acquired)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800"/>
        <w:gridCol w:w="3200"/>
        <w:gridCol w:w="16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Sumber Infeksi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Terapi Empirik Lini 1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Pneumonia komunitas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Ampisilin-Sulbaktam 1,5-3 g IV 4x/hari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Azitromisin 500 mg IV/PO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+ 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Infeksi saluran kemih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1-2 g IV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Infeksi intra-abdominal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1-2 g IV 1x/hari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Metronidazol 500 mg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 + 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Infeksi kulit &amp; jaringan lunak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Ampisilin-Sulbaktam 1,5-3 g IV 4x/hari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Sumber tidak teridentifikasi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 2 g IV 1x/hari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Metronidazol 500 mg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 + ACCESS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6.5 Terapi Empirik Sepsis Nosokomial (Healthcare-Associated)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800"/>
        <w:gridCol w:w="3200"/>
        <w:gridCol w:w="16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Sumber Infeksi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Terapi Empirik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AWaRe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HAP / VAP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 2 g IV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+/- Amikacin 15-20 mg/kgBB IV 1x/hari (risiko MDR tinggi)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BSI / CLABSI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Ceftazidim 2 g IV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Pertimbangkan Vankomisin jika MRSA (RESERVE; rujuk)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 / RESERVE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ISK nosokomial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Ceftazidim 2 g IV 3x/hari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ATAU Ceftriaxon 2 g IV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Intra-abdominal nosokomial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 2 g IV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Metronidazol 500 mg IV 3x/hari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Sumber tidak teridentifikasi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200" w:type="dxa"/>
            <w:vAlign w:val="top"/>
          </w:tcPr>
          <w:p>
            <w:pPr>
              <w:pBdr/>
              <w:spacing w:after="4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 2 g IV 2x/hari</w:t>
            </w:r>
            <w:r/>
          </w:p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+ Amikacin 15-20 mg/kgBB IV 1x/hari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</w:tbl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fff8e1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SSC 2026: Untuk pasien TANPA faktor risiko patogen MDR yang spesifik, disarankan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monoterapi beta-laktam tanpa kombinasi aminoglikosida secara rutin.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Terapi antijamur empirik TIDAK direkomendasikan secara rutin pada sepsis tanpa faktor risiko jamur.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Cakupan anaerob (metronidazol) hanya jika ada faktor risiko infeksi anaerob (sumber GI/ginekologis).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De-eskalasi antimikroba direkomendasikan (UPGRADED dari 2021) bila diagnosis mikrobiologis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dan profil kepekaan sudah tersedia.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6.6 Hal Baru Lainnya dalam SSC 2026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000"/>
        <w:gridCol w:w="46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Topik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Rekomendasi / Pernyataan SSC 2026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Admisi ICU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Disarankan pasien sepsis/syok septik dirawat di ICU dalam 6 jam sejak diagnosis.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Program peningkatan mutu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Direkomendasikan institusi menerapkan performance improvement programs untuk sepsis (Code Sepsis, protokol SOP terstandar).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Penilaian pasca-sepsis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Direkomendasikan dukungan untuk survivor sepsis: tindak lanjut medis, assessment fisik/kognitif/psikologis pasca pulang. Penerapan berlaku di negara berpenghasilan rendah-menengah.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0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POCUS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46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Disarankan penggunaan point-of-care ultrasound (POCUS) untuk memandu resusitasi pada sepsis/syok septik.</w:t>
            </w:r>
            <w:r/>
          </w:p>
        </w:tc>
      </w:tr>
    </w:tbl>
    <w:p>
      <w:pPr>
        <w:pageBreakBefore w:val="true"/>
        <w:pBdr/>
        <w:spacing w:after="2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0"/>
          <w:szCs w:val="20"/>
        </w:rPr>
        <w:t xml:space="preserve">BAB 7</w:t>
      </w:r>
      <w:r/>
    </w:p>
    <w:p>
      <w:pPr>
        <w:pStyle w:val="763"/>
        <w:pBdr/>
        <w:spacing w:after="10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DE-ESKALASI DAN KONVERSI IV KE ORAL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7.1 Prinsip De-eskalasi Antimikroba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De-eskalasi adalah perubahan terapi antimikroba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dari spektrum luas menjadi lebih sempit berdasarkan hasil kultur dan uji kepekaan, atau penghentian antimikroba jika tidak terbukti infeksi bakteri. De-eskalasi wajib diupayakan dalam 48-72 jam sejak dimulainya terapi empirik (Davey et al., Cochrane 2017).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600"/>
        <w:gridCol w:w="50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Langkah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Tindakan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1. Evaluasi 48-72 jam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Review hasil kultur, klinis, dan penanda infeksi (CRP, PCT, leukosit, suhu).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2. Patogen teridentifikasi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Ganti ke antibiotik paling sempit yang sensitif berdasarkan uji kepekaan. Hentikan antibiotik yang tidak tercakup dalam spektrum patogen.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3. Tidak ada pertumbuhan bakteri, klinis membaik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Pertimbangkan penghentian antibiotik, terutama jika diagnosis infeksi bakterial tidak terkonfirmasi.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4. Klinis memburuk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Eskalasi terapi: pertimbangkan patogen lebih resisten, MDR, superinfeksi, atau penyebab non-infeksi (emboli, keganasan, dll.).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5. Libatkan Tim PRA / Apoteker Klinis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Prospektif reviu oleh apoteker klinis dan Tim PRA untuk rekomendasi de-eskalasi terstruktur setiap 48-72 jam.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7.2 Kriteria Konversi IV ke Oral (IV-to-Oral Switch / IVOST)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Konversi dari rute intravena ke oral dilakukan sesegera mungkin bila SEMUA kriteria berikut terpenuhi: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600"/>
        <w:gridCol w:w="50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Kriteria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Parameter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Tidak demam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Suhu &lt; 38 derajat C selama &gt;= 24 jam tanpa antipiretik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Tanda vital stabil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Tekanan darah, frekuensi nadi, frekuensi napas, SpO2 dalam batas normal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GI tract berfungsi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Tidak ada ileus, malabsorpsi, mual/muntah yang bermakna, atau gangguan absorpsi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Leukosit membaik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Tren penurunan leukosit; tidak ada neutropenia berat (&lt;0,5 x 10^9/L)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Formulasi oral tersedia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50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Contoh: siprofloksasin, metronidazol, klindamisin, amoksisilin-klavulanat, levofloxacin (bioavailabilitas oral &gt; 80%)</w:t>
            </w:r>
            <w:r/>
          </w:p>
        </w:tc>
      </w:tr>
    </w:tbl>
    <w:p>
      <w:pPr>
        <w:pStyle w:val="764"/>
        <w:pBdr/>
        <w:spacing w:after="100" w:before="20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2874a6"/>
          <w:sz w:val="24"/>
          <w:szCs w:val="24"/>
        </w:rPr>
        <w:t xml:space="preserve">7.3 Rekomendasi Durasi Terapi Minimum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Data terkini mendukung strategi "shorter is better" — durasi lebih pendek memiliki efektivitas setara dengan risiko efek samping dan resistensi yang lebih rendah pada infeksi tidak komplikasi.</w:t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800"/>
        <w:gridCol w:w="38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Diagnosis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Durasi yang Direkomendasikan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ISK bawah tanpa komplikasi (wanita)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3 hari (ko-trimoksazol/fosfomisin); 5-7 hari (lainnya)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ISK bawah tanpa komplikasi (pria)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Pielonefritis tanpa komplikasi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10-14 hari (7 hari dengan fluorokuinolon jika sensitif)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Faringitis / tonsilofaringitis GAS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10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CAP ringan (rawat jalan)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CAP sedang-berat (rawat inap)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HAP / VAP tanpa komplikasi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Sinusitis bakterial akut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7-10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Selulitis tanpa komplikasi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5-7 hari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Apendisitis tidak terkomplikasi (post-op)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Maksimal 24 jam (profilaksis)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Intra-abdominal post source control adekuat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4 hari jika klinis membaik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8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Sepsis komunitas, focus jelas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38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Minimal 7 hari; evaluasi dengan biomarker (PCT)</w:t>
            </w:r>
            <w:r/>
          </w:p>
        </w:tc>
      </w:tr>
    </w:tbl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689"/>
      </w:tblGrid>
      <w:tr>
        <w:trPr/>
        <w:tc>
          <w:tcPr>
            <w:shd w:val="clear" w:color="auto" w:fill="e8f5e9"/>
            <w:tcBorders>
              <w:top w:val="single" w:color="2874a6" w:sz="1" w:space="0"/>
              <w:left w:val="single" w:color="2874a6" w:sz="1" w:space="0"/>
              <w:bottom w:val="single" w:color="2874a6" w:sz="1" w:space="0"/>
              <w:right w:val="single" w:color="2874a6" w:sz="1" w:space="0"/>
            </w:tcBorders>
            <w:tcMar>
              <w:left w:w="180" w:type="dxa"/>
              <w:top w:w="80" w:type="dxa"/>
              <w:right w:w="180" w:type="dxa"/>
              <w:bottom w:w="80" w:type="dxa"/>
            </w:tcMar>
            <w:tcW w:w="6689" w:type="dxa"/>
          </w:tcPr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Procalcitonin (PCT) sebagai panduan penghentian antibiotik: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  PCT &lt; 0,25 ng/mL: pertimbangkan penghentian antibiotik</w:t>
            </w:r>
            <w:r/>
          </w:p>
          <w:p>
            <w:pPr>
              <w:pBdr/>
              <w:spacing w:after="6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  Penurunan PCT &gt;= 80% dari nilai puncak: pertimbangkan penghentian</w:t>
            </w:r>
            <w:r/>
          </w:p>
          <w:p>
            <w:pPr>
              <w:pBdr/>
              <w:spacing w:after="0" w:before="0" w:line="236" w:lineRule="auto"/>
              <w:ind/>
              <w:jc w:val="both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8"/>
                <w:szCs w:val="18"/>
              </w:rPr>
              <w:t xml:space="preserve">  Jika PCT tidak tersedia: afebris + perbaikan klinis + CRP menurun</w:t>
            </w:r>
            <w:r/>
          </w:p>
        </w:tc>
      </w:tr>
    </w:tbl>
    <w:p>
      <w:pPr>
        <w:pStyle w:val="763"/>
        <w:pageBreakBefore w:val="true"/>
        <w:pBdr/>
        <w:spacing w:after="14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LAMPIRAN: INDEKS ANTIMIKROBA UMUM DAN KLASIFIKASI AWaRe</w:t>
      </w:r>
      <w:r/>
    </w:p>
    <w:p>
      <w:pPr>
        <w:pBdr/>
        <w:spacing w:after="80" w:before="40" w:line="260" w:lineRule="auto"/>
        <w:ind/>
        <w:jc w:val="both"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  <w:t xml:space="preserve">Tabel berikut merangkum antibiotik yang sering digunakan di Indonesia dan klasifikasi AWaRe-nya berdasarkan WHO AWaRe Antibiotic Book 2023.</w:t>
      </w:r>
      <w:r/>
    </w:p>
    <w:p>
      <w:pPr>
        <w:pBdr/>
        <w:spacing w:after="80" w:before="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tbl>
      <w:tblPr>
        <w:tblW w:w="6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00"/>
        <w:gridCol w:w="2600"/>
        <w:gridCol w:w="1789"/>
      </w:tblGrid>
      <w:tr>
        <w:trPr>
          <w:tblHeader/>
        </w:trPr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Nama Antimikroba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Kelompok / Kelas</w:t>
            </w:r>
            <w:r/>
          </w:p>
        </w:tc>
        <w:tc>
          <w:tcPr>
            <w:shd w:val="clear" w:color="auto" w:fill="d6e4f0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color w:val="1a1a1a"/>
                <w:sz w:val="16"/>
                <w:szCs w:val="16"/>
              </w:rPr>
              <w:t xml:space="preserve">Kategori AWaRe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Aminopenisilin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Amoksisilin-Klavulanat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Penisilin + inhibitor beta-laktamase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Ampisilin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Aminopenisilin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Ampisilin-Sulbaktam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Penisilin + inhibitor beta-laktamase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Benzilpenisilin (Penisilin G)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Penisilin alam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Cefazolin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Sefalosporin generasi 1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Sefaleksin (Cefalexin)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Sefalosporin generasi 1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Ko-trimoksazol (TMP-SMX)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Sulfonamid/Trimetoprim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Doksisiklin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Tetrasiklin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Eritromisin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Makrolida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Fosfomisin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Antibiotik fosfon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Kloramfenikol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Amfenikol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 (last resort)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Klindamisin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Linkosamin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Metronidazol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Nitroimidazol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Nitrofurantoin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Nitrofuran</w:t>
            </w:r>
            <w:r/>
          </w:p>
        </w:tc>
        <w:tc>
          <w:tcPr>
            <w:shd w:val="clear" w:color="auto" w:fill="e8f5e9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ACCESS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Azitromisin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Makrolida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Cefixim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Sefalosporin generasi 3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Cefotaksim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Sefalosporin generasi 3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Ceftazidim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Sefalosporin generasi 3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Ceftriaxon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Sefalosporin generasi 3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Cefoperazon-Sulbaktam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Sefalosporin gen.3 + inhibitor BL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Siprofloksasin (Ciprofloxacin)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Fluorokuinolon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Klaritromisin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Makrolida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Levofloxacin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Fluorokuinolon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Piperasilin-Tazobaktam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Ureidopenisilin + inhibitor BL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Amikacin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Aminoglikosida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Gentamisin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Aminoglikosida</w:t>
            </w:r>
            <w:r/>
          </w:p>
        </w:tc>
        <w:tc>
          <w:tcPr>
            <w:shd w:val="clear" w:color="auto" w:fill="fbe9e7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WATCH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Meropenem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Carbapenem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RESERVE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Imipenem-Silastatin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Carbapenem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RESERVE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Ertapenem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Carbapenem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RESERVE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Vankomisin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Glikopeptida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RESERVE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Kolistin (Polimiksin E)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Polimiksin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RESERVE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Linezolid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Oksazolidinon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RESERVE</w:t>
            </w:r>
            <w:r/>
          </w:p>
        </w:tc>
      </w:tr>
      <w:tr>
        <w:trPr/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3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Fosfomisin IV</w:t>
            </w:r>
            <w:r/>
          </w:p>
        </w:tc>
        <w:tc>
          <w:tcPr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2600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Antibiotik fosfon (parenteral)</w:t>
            </w:r>
            <w:r/>
          </w:p>
        </w:tc>
        <w:tc>
          <w:tcPr>
            <w:shd w:val="clear" w:color="auto" w:fill="ffebee"/>
            <w:tcBorders>
              <w:top w:val="single" w:color="c0c0c0" w:sz="1" w:space="0"/>
              <w:left w:val="single" w:color="c0c0c0" w:sz="1" w:space="0"/>
              <w:bottom w:val="single" w:color="c0c0c0" w:sz="1" w:space="0"/>
              <w:right w:val="single" w:color="c0c0c0" w:sz="1" w:space="0"/>
            </w:tcBorders>
            <w:tcMar>
              <w:left w:w="100" w:type="dxa"/>
              <w:top w:w="60" w:type="dxa"/>
              <w:right w:w="80" w:type="dxa"/>
              <w:bottom w:w="60" w:type="dxa"/>
            </w:tcMar>
            <w:tcW w:w="1789" w:type="dxa"/>
            <w:vAlign w:val="top"/>
          </w:tcPr>
          <w:p>
            <w:pPr>
              <w:pBdr/>
              <w:spacing w:after="0" w:before="0" w:line="220" w:lineRule="auto"/>
              <w:ind/>
              <w:jc w:val="left"/>
              <w:rPr/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1a1a1a"/>
                <w:sz w:val="16"/>
                <w:szCs w:val="16"/>
              </w:rPr>
              <w:t xml:space="preserve">RESERVE</w:t>
            </w:r>
            <w:r/>
          </w:p>
        </w:tc>
      </w:tr>
    </w:tbl>
    <w:p>
      <w:pPr>
        <w:pStyle w:val="763"/>
        <w:pageBreakBefore w:val="true"/>
        <w:pBdr/>
        <w:spacing w:after="140" w:before="0"/>
        <w:ind/>
        <w:rPr/>
      </w:pPr>
      <w:r>
        <w:rPr>
          <w:rFonts w:ascii="Arial" w:hAnsi="Arial" w:eastAsia="Arial" w:cs="Arial"/>
          <w:b/>
          <w:bCs/>
          <w:i w:val="0"/>
          <w:iCs w:val="0"/>
          <w:color w:val="1a4e8c"/>
          <w:sz w:val="28"/>
          <w:szCs w:val="28"/>
        </w:rPr>
        <w:t xml:space="preserve">DAFTAR PUSTAKA</w:t>
      </w:r>
      <w:r/>
    </w:p>
    <w:p>
      <w:pPr>
        <w:pBdr>
          <w:bottom w:val="single" w:color="2874a6" w:sz="6" w:space="1"/>
        </w:pBdr>
        <w:spacing w:after="80" w:before="60"/>
        <w:ind/>
        <w:rPr/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20"/>
          <w:szCs w:val="20"/>
        </w:rPr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World Health Organization. AWaRe (Access, Watch, Reserve) Antibiotic Book 2023. Geneva: World Health Organization; 2023. Licence: CC BY-NC-SA 3.0 IGO.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2.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Kementerian Kesehatan Republik Indonesia. Panduan Penatagunaan Antimikroba (PGA) di Rumah Sakit, Edisi I. Jakarta: Direktorat Jenderal Pelayanan Kesehatan, Kemenkes RI; 2021.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3.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Kementerian Kesehatan Republik Indonesia. Peraturan Menteri Kesehatan Nomor 28 Tahun 2021 tentang Pedoman Penggunaan Antibiotik. Jakarta: Kemenkes RI; 2021.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4.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Kementerian Kesehatan Republik Indonesia. Peraturan Menteri Kesehatan Nomor 8 Tahun 2015 tentang Program Pengendalian Resistensi Antimikroba di Rumah Sakit. Jakarta: Kemenkes RI; 2015.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5.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Kementerian Kesehatan Republik Indonesia. Keputusan Menteri Kesehatan RI No. HK.01.07/MENKES/1596/2024 tentang Standar Akreditasi Rumah Sakit (STARKES 2024). Jakarta: Kemenkes RI; 2024.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6.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Kementerian Kesehatan Republik Indonesia. Strategi Nasional Pengendalian Resistensi Antimikroba 2025-2029. Jakarta: Kemenkes RI; 2025.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7.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Prescott H, Antonelli M, Alhazza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ni W, et al. Surviving Sepsis Campaign: International Guidelines for Management of Sepsis and Septic Shock 2026. Crit Care Med. 2026 Mar [published online]. doi:10.1097/CCM.0000000000007075. Also in: Intensive Care Med. 2026. doi:10.1007/s00134-026-08361-1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8.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Evans L, Rhodes A, Alhazzani W, et al. Surviving Sepsis Campaign: International Guidelines for Management of Sepsis and Septic Shock 2021. Crit Care Med. 2021;49(11):e1063-e1143. doi:10.1097/CCM.0000000000005337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9.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Singer M, Deutschman CS, Seymour CW, et al. The Third International Consensus Definitions for Sepsis and Septic Shock (Sepsis-3). JAMA. 2016;315(8):801-810. doi:10.1001/jama.2016.0287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10.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Mandell LA, Wunderink RG, Anzueto A, et al. IDSA/ATS Consensus Guidelines on the Management of Community-Acquired Pneumonia in Adults. Clin Infect Dis. 2007;44(Suppl 2):S27-72. doi:10.1086/511159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11.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Kalil AC, Metersky ML, Klompas M, et al. Management of Adults with Hospital-acquired and Ventilator-associated Pneumonia: 2016 Clinical Practice Guidelines by IDSA and ATS. Clin Infect Dis. 2016;63(5):e61-e111. doi:10.1093/cid/ciw353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12.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Gupta K, Hooton TM, Naber KG, et al. International Clinical Practice Guidelines for the Treatment of Acute Uncomplicated Cystitis and Pyelonephritis in Women: A 2010 Update. Clin Infect Dis. 2011;52(5):e103-e120. doi:10.1093/cid/ciq257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13.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Stevens DL, Bisno AL, Chambers HF, et al. Practice Guidelines for the Diagnosis and Management of Skin and Soft Tissue Infections: 2014 Update by the Infectious Diseases Society of America. Clin Infect Dis. 2014;59(2):147-159. doi:10.1093/cid/ciu296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14.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Solomkin JS, Mazuski JE, Bradley JS, et al. Diagnosis and Management of Complicated Intra-abdominal Infection in Adults and Children: Guidelines by the IDSA and the Surgical Infection Society. Clin Infect Dis. 2010;50(2):133-164. doi:10.1086/649554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15.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Davey P, Marwick CA, Scott CL, et al. Interventions to improve antibiotic prescribing practices for hospital inpatients. Cochrane Database Syst Rev. 2017;(2):CD003543. doi:10.1002/14651858.CD003543.pub4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16.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Murray CJ, Ikuta KS, Sharara F, et al. Global burden of bacterial antimicrobial resistance in 2019: a systematic analysis. Lancet. 2022;399(10325):629-655. doi:10.1016/S0140-6736(21)02724-0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17.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Gyssens IC. Quality measures of antimicrobial drug use. Int J Antimicrob Agents. 2001;17(1):9-19. doi:10.1016/s0924-8579(00)00297-x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18.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World Health Organization. Global Action Plan on Antimicrobial Resistance. Geneva: WHO; 2015.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19.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Chalmers JD, Pletz MW, Aliberti S. Community-acquired pneumonia. Eur Respir J. 2024;63(4):2300407. doi:10.1183/13993003.00407-2023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20.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Tamma PD, Aitken SL, Bonomo RA, et al. Infectious Disea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ses Society of America 2022 Guidance on the Treatment of Extended-Spectrum beta-Lactamase Producing Enterobacterales, Carbapenem-Resistant Enterobacterales, and Pseudomonas aeruginosa with Difficult-to-Treat Resistance. Clin Infect Dis. 2022;75(2):187-212.</w:t>
      </w:r>
      <w:r/>
    </w:p>
    <w:p>
      <w:pPr>
        <w:pBdr/>
        <w:spacing w:after="80" w:before="30" w:line="240" w:lineRule="auto"/>
        <w:ind w:hanging="440" w:left="440"/>
        <w:jc w:val="both"/>
        <w:rPr/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1a1a1a"/>
          <w:sz w:val="18"/>
          <w:szCs w:val="18"/>
        </w:rPr>
        <w:t xml:space="preserve">21. 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1a1a1a"/>
          <w:sz w:val="18"/>
          <w:szCs w:val="18"/>
        </w:rPr>
        <w:t xml:space="preserve">PERDALIN. Pedoman Program Pencegahan dan Pengendalian Infeksi (PPI) di Rumah Sakit. Jakarta: PERDALIN; 2019.</w:t>
      </w:r>
      <w:r/>
    </w:p>
    <w:sectPr>
      <w:headerReference w:type="default" r:id="rId9"/>
      <w:headerReference w:type="first" r:id="rId10"/>
      <w:footerReference w:type="default" r:id="rId11"/>
      <w:footerReference w:type="first" r:id="rId12"/>
      <w:footnotePr/>
      <w:endnotePr/>
      <w:type w:val="nextPage"/>
      <w:pgSz w:h="11906" w:orient="portrait" w:w="8391"/>
      <w:pgMar w:top="851" w:right="851" w:bottom="851" w:left="851" w:header="708" w:footer="708" w:gutter="0"/>
      <w:cols w:num="1" w:sep="0" w:space="1701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>
        <w:top w:val="single" w:color="2874a6" w:sz="4" w:space="1"/>
      </w:pBdr>
      <w:spacing w:after="0" w:before="80"/>
      <w:ind/>
      <w:jc w:val="center"/>
      <w:rPr/>
    </w:pPr>
    <w:r>
      <w:rPr>
        <w:rFonts w:ascii="Times New Roman" w:hAnsi="Times New Roman" w:eastAsia="Times New Roman" w:cs="Times New Roman"/>
        <w:b w:val="0"/>
        <w:bCs w:val="0"/>
        <w:i w:val="0"/>
        <w:iCs w:val="0"/>
        <w:color w:val="2874a6"/>
        <w:sz w:val="14"/>
        <w:szCs w:val="14"/>
      </w:rPr>
      <w:t xml:space="preserve">Edisi 1, 2026  |  Verifikasi ke sumber primer sebelum penerapan klinis  |  saweria.co/haridiva</w:t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/>
      <w:spacing/>
      <w:ind/>
      <w:rPr/>
    </w:pPr>
    <w:r>
      <w:rPr>
        <w:rFonts w:ascii="Times New Roman" w:hAnsi="Times New Roman" w:eastAsia="Times New Roman" w:cs="Times New Roman"/>
        <w:b w:val="0"/>
        <w:bCs w:val="0"/>
        <w:i w:val="0"/>
        <w:iCs w:val="0"/>
        <w:color w:val="1a1a1a"/>
        <w:sz w:val="20"/>
        <w:szCs w:val="20"/>
      </w:rPr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>
        <w:bottom w:val="single" w:color="2874a6" w:sz="4" w:space="1"/>
      </w:pBdr>
      <w:spacing w:after="80" w:before="0"/>
      <w:ind/>
      <w:jc w:val="center"/>
      <w:rPr/>
    </w:pPr>
    <w:r>
      <w:rPr>
        <w:rFonts w:ascii="Times New Roman" w:hAnsi="Times New Roman" w:eastAsia="Times New Roman" w:cs="Times New Roman"/>
        <w:b w:val="0"/>
        <w:bCs w:val="0"/>
        <w:i/>
        <w:iCs/>
        <w:color w:val="2874a6"/>
        <w:sz w:val="14"/>
        <w:szCs w:val="14"/>
      </w:rPr>
      <w:t xml:space="preserve">Buku Saku Terapi Empirik Infeksi Umum di Indonesia  |  dr. Putu Cahya Legawa</w: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/>
      <w:spacing/>
      <w:ind/>
      <w:rPr/>
    </w:pPr>
    <w:r>
      <w:rPr>
        <w:rFonts w:ascii="Times New Roman" w:hAnsi="Times New Roman" w:eastAsia="Times New Roman" w:cs="Times New Roman"/>
        <w:b w:val="0"/>
        <w:bCs w:val="0"/>
        <w:i w:val="0"/>
        <w:iCs w:val="0"/>
        <w:color w:val="1a1a1a"/>
        <w:sz w:val="20"/>
        <w:szCs w:val="20"/>
      </w:rPr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●"/>
      <w:numFmt w:val="bullet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1440"/>
      </w:pPr>
      <w:rPr/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160"/>
      </w:pPr>
      <w:rPr/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3600"/>
      </w:pPr>
      <w:rPr/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4320"/>
      </w:pPr>
      <w:rPr/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●"/>
      <w:numFmt w:val="bullet"/>
      <w:pPr>
        <w:pBdr/>
        <w:spacing/>
        <w:ind w:hanging="360" w:left="5760"/>
      </w:pPr>
      <w:rPr/>
      <w:start w:val="1"/>
      <w:suff w:val="tab"/>
    </w:lvl>
    <w:lvl w:ilvl="8">
      <w:isLgl w:val="false"/>
      <w:lvlJc w:val="left"/>
      <w:lvlText w:val="●"/>
      <w:numFmt w:val="bullet"/>
      <w:pPr>
        <w:pBdr/>
        <w:spacing/>
        <w:ind w:hanging="360" w:left="6480"/>
      </w:pPr>
      <w:rPr/>
      <w:start w:val="1"/>
      <w:suff w:val="tab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color w:val="1a1a1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 w:default="1">
    <w:name w:val="Normal"/>
    <w:qFormat/>
    <w:pPr>
      <w:pBdr/>
      <w:spacing/>
      <w:ind/>
    </w:pPr>
  </w:style>
  <w:style w:type="paragraph" w:styleId="145">
    <w:name w:val="Heading 7"/>
    <w:basedOn w:val="138"/>
    <w:next w:val="138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138"/>
    <w:next w:val="138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138"/>
    <w:next w:val="138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numbering" w:styleId="149" w:default="1">
    <w:name w:val="No List"/>
    <w:uiPriority w:val="99"/>
    <w:semiHidden/>
    <w:unhideWhenUsed/>
    <w:pPr>
      <w:pBdr/>
      <w:spacing/>
      <w:ind/>
    </w:pPr>
  </w:style>
  <w:style w:type="character" w:styleId="150">
    <w:name w:val="Heading 1 Char"/>
    <w:basedOn w:val="148"/>
    <w:link w:val="76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76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76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75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75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75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148"/>
    <w:link w:val="747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138"/>
    <w:next w:val="138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138"/>
    <w:next w:val="138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138"/>
    <w:next w:val="138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138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138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138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138"/>
    <w:next w:val="13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138"/>
    <w:next w:val="138"/>
    <w:uiPriority w:val="39"/>
    <w:unhideWhenUsed/>
    <w:pPr>
      <w:pBdr/>
      <w:spacing w:after="100"/>
      <w:ind/>
    </w:pPr>
  </w:style>
  <w:style w:type="paragraph" w:styleId="190">
    <w:name w:val="toc 2"/>
    <w:basedOn w:val="138"/>
    <w:next w:val="138"/>
    <w:uiPriority w:val="39"/>
    <w:unhideWhenUsed/>
    <w:pPr>
      <w:pBdr/>
      <w:spacing w:after="100"/>
      <w:ind w:left="220"/>
    </w:pPr>
  </w:style>
  <w:style w:type="paragraph" w:styleId="191">
    <w:name w:val="toc 3"/>
    <w:basedOn w:val="138"/>
    <w:next w:val="138"/>
    <w:uiPriority w:val="39"/>
    <w:unhideWhenUsed/>
    <w:pPr>
      <w:pBdr/>
      <w:spacing w:after="100"/>
      <w:ind w:left="440"/>
    </w:pPr>
  </w:style>
  <w:style w:type="paragraph" w:styleId="192">
    <w:name w:val="toc 4"/>
    <w:basedOn w:val="138"/>
    <w:next w:val="138"/>
    <w:uiPriority w:val="39"/>
    <w:unhideWhenUsed/>
    <w:pPr>
      <w:pBdr/>
      <w:spacing w:after="100"/>
      <w:ind w:left="660"/>
    </w:pPr>
  </w:style>
  <w:style w:type="paragraph" w:styleId="193">
    <w:name w:val="toc 5"/>
    <w:basedOn w:val="138"/>
    <w:next w:val="138"/>
    <w:uiPriority w:val="39"/>
    <w:unhideWhenUsed/>
    <w:pPr>
      <w:pBdr/>
      <w:spacing w:after="100"/>
      <w:ind w:left="880"/>
    </w:pPr>
  </w:style>
  <w:style w:type="paragraph" w:styleId="194">
    <w:name w:val="toc 6"/>
    <w:basedOn w:val="138"/>
    <w:next w:val="138"/>
    <w:uiPriority w:val="39"/>
    <w:unhideWhenUsed/>
    <w:pPr>
      <w:pBdr/>
      <w:spacing w:after="100"/>
      <w:ind w:left="1100"/>
    </w:pPr>
  </w:style>
  <w:style w:type="paragraph" w:styleId="195">
    <w:name w:val="toc 7"/>
    <w:basedOn w:val="138"/>
    <w:next w:val="138"/>
    <w:uiPriority w:val="39"/>
    <w:unhideWhenUsed/>
    <w:pPr>
      <w:pBdr/>
      <w:spacing w:after="100"/>
      <w:ind w:left="1320"/>
    </w:pPr>
  </w:style>
  <w:style w:type="paragraph" w:styleId="196">
    <w:name w:val="toc 8"/>
    <w:basedOn w:val="138"/>
    <w:next w:val="138"/>
    <w:uiPriority w:val="39"/>
    <w:unhideWhenUsed/>
    <w:pPr>
      <w:pBdr/>
      <w:spacing w:after="100"/>
      <w:ind w:left="1540"/>
    </w:pPr>
  </w:style>
  <w:style w:type="paragraph" w:styleId="197">
    <w:name w:val="toc 9"/>
    <w:basedOn w:val="138"/>
    <w:next w:val="138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138"/>
    <w:next w:val="138"/>
    <w:uiPriority w:val="99"/>
    <w:unhideWhenUsed/>
    <w:pPr>
      <w:pBdr/>
      <w:spacing w:after="0" w:afterAutospacing="0"/>
      <w:ind/>
    </w:pPr>
  </w:style>
  <w:style w:type="paragraph" w:styleId="747">
    <w:name w:val="Title"/>
    <w:qFormat/>
    <w:pPr>
      <w:pBdr/>
      <w:spacing/>
      <w:ind/>
    </w:pPr>
    <w:rPr>
      <w:sz w:val="56"/>
      <w:szCs w:val="56"/>
    </w:rPr>
  </w:style>
  <w:style w:type="paragraph" w:styleId="751">
    <w:name w:val="Heading 4"/>
    <w:qFormat/>
    <w:pPr>
      <w:pBdr/>
      <w:spacing/>
      <w:ind/>
    </w:pPr>
    <w:rPr>
      <w:i/>
      <w:iCs/>
      <w:color w:val="2e74b5"/>
    </w:rPr>
  </w:style>
  <w:style w:type="paragraph" w:styleId="752">
    <w:name w:val="Heading 5"/>
    <w:qFormat/>
    <w:pPr>
      <w:pBdr/>
      <w:spacing/>
      <w:ind/>
    </w:pPr>
    <w:rPr>
      <w:color w:val="2e74b5"/>
    </w:rPr>
  </w:style>
  <w:style w:type="paragraph" w:styleId="753">
    <w:name w:val="Heading 6"/>
    <w:qFormat/>
    <w:pPr>
      <w:pBdr/>
      <w:spacing/>
      <w:ind/>
    </w:pPr>
    <w:rPr>
      <w:color w:val="1f4d78"/>
    </w:rPr>
  </w:style>
  <w:style w:type="paragraph" w:styleId="754">
    <w:name w:val="Strong"/>
    <w:qFormat/>
    <w:pPr>
      <w:pBdr/>
      <w:spacing/>
      <w:ind/>
    </w:pPr>
    <w:rPr>
      <w:b/>
      <w:bCs/>
    </w:rPr>
  </w:style>
  <w:style w:type="paragraph" w:styleId="755">
    <w:name w:val="List Paragraph"/>
    <w:qFormat/>
    <w:pPr>
      <w:pBdr/>
      <w:spacing/>
      <w:ind/>
    </w:pPr>
  </w:style>
  <w:style w:type="character" w:styleId="756">
    <w:name w:val="Hyperlink"/>
    <w:uiPriority w:val="99"/>
    <w:unhideWhenUsed/>
    <w:pPr>
      <w:pBdr/>
      <w:spacing/>
      <w:ind/>
    </w:pPr>
    <w:rPr>
      <w:color w:val="0563c1"/>
      <w:u w:val="single"/>
    </w:rPr>
  </w:style>
  <w:style w:type="character" w:styleId="757">
    <w:name w:val="foot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758">
    <w:name w:val="footnote text"/>
    <w:link w:val="759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759">
    <w:name w:val="Footnote Text Char"/>
    <w:link w:val="758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760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761">
    <w:name w:val="endnote text"/>
    <w:link w:val="76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762">
    <w:name w:val="Endnote Text Char"/>
    <w:link w:val="761"/>
    <w:uiPriority w:val="99"/>
    <w:semiHidden/>
    <w:unhideWhenUsed/>
    <w:pPr>
      <w:pBdr/>
      <w:spacing/>
      <w:ind/>
    </w:pPr>
    <w:rPr>
      <w:sz w:val="20"/>
      <w:szCs w:val="20"/>
    </w:rPr>
  </w:style>
  <w:style w:type="paragraph" w:styleId="763">
    <w:name w:val="Heading 1"/>
    <w:pPr>
      <w:pBdr/>
      <w:spacing w:after="140" w:before="0"/>
      <w:ind/>
      <w:outlineLvl w:val="0"/>
    </w:pPr>
    <w:rPr>
      <w:rFonts w:ascii="Arial" w:hAnsi="Arial" w:eastAsia="Arial" w:cs="Arial"/>
      <w:b/>
      <w:bCs/>
      <w:color w:val="1a4e8c"/>
      <w:sz w:val="28"/>
      <w:szCs w:val="28"/>
    </w:rPr>
  </w:style>
  <w:style w:type="paragraph" w:styleId="764">
    <w:name w:val="Heading 2"/>
    <w:pPr>
      <w:pBdr/>
      <w:spacing w:after="100" w:before="200"/>
      <w:ind/>
      <w:outlineLvl w:val="1"/>
    </w:pPr>
    <w:rPr>
      <w:rFonts w:ascii="Arial" w:hAnsi="Arial" w:eastAsia="Arial" w:cs="Arial"/>
      <w:b/>
      <w:bCs/>
      <w:color w:val="2874a6"/>
      <w:sz w:val="24"/>
      <w:szCs w:val="24"/>
    </w:rPr>
  </w:style>
  <w:style w:type="paragraph" w:styleId="765">
    <w:name w:val="Heading 3"/>
    <w:pPr>
      <w:pBdr/>
      <w:spacing w:after="80" w:before="160"/>
      <w:ind/>
      <w:outlineLvl w:val="2"/>
    </w:pPr>
    <w:rPr>
      <w:rFonts w:ascii="Arial" w:hAnsi="Arial" w:eastAsia="Arial" w:cs="Arial"/>
      <w:b/>
      <w:bCs/>
      <w:color w:val="1a4e8c"/>
      <w:sz w:val="22"/>
      <w:szCs w:val="22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yperlink" Target="https://legawa.com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ONLYOFFICE/9.4.0.129</Application>
  <HeadingPairs>
    <vt:vector size="0" baseType="variant"/>
  </HeadingPairs>
  <TitlesOfParts>
    <vt:vector size="0" baseType="lpstr"/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revision>2</cp:revision>
  <dcterms:created xsi:type="dcterms:W3CDTF">2026-06-11T10:15:45Z</dcterms:created>
  <dcterms:modified xsi:type="dcterms:W3CDTF">2026-06-11T10:22:11Z</dcterms:modified>
</cp:coreProperties>
</file>